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20" w:line="480" w:lineRule="auto"/>
        <w:jc w:val="center"/>
        <w:rPr>
          <w:rFonts w:eastAsiaTheme="minorEastAsia"/>
          <w:b/>
          <w:bCs/>
          <w:color w:val="auto"/>
          <w:sz w:val="44"/>
          <w:szCs w:val="44"/>
          <w:highlight w:val="none"/>
        </w:rPr>
      </w:pPr>
      <w:bookmarkStart w:id="0" w:name="_Toc23188"/>
      <w:bookmarkStart w:id="1" w:name="_Toc461525293"/>
      <w:bookmarkStart w:id="2" w:name="_Toc32122"/>
      <w:bookmarkStart w:id="3" w:name="_Toc4954"/>
      <w:bookmarkStart w:id="4" w:name="_Toc14943"/>
      <w:bookmarkStart w:id="5" w:name="_Toc9980"/>
      <w:bookmarkStart w:id="6" w:name="_Toc471482358"/>
      <w:bookmarkStart w:id="7" w:name="_Toc21106"/>
      <w:bookmarkStart w:id="8" w:name="_Toc25905"/>
      <w:bookmarkStart w:id="9" w:name="_Toc27692"/>
      <w:bookmarkStart w:id="10" w:name="_Toc18159"/>
      <w:bookmarkStart w:id="11" w:name="_Toc12363"/>
      <w:r>
        <w:rPr>
          <w:rFonts w:hint="eastAsia" w:eastAsiaTheme="minorEastAsia"/>
          <w:b/>
          <w:color w:val="auto"/>
          <w:sz w:val="48"/>
          <w:szCs w:val="52"/>
          <w:highlight w:val="none"/>
        </w:rPr>
        <w:t>桂林市</w:t>
      </w:r>
      <w:r>
        <w:rPr>
          <w:rFonts w:hint="eastAsia" w:eastAsiaTheme="minorEastAsia"/>
          <w:b/>
          <w:color w:val="auto"/>
          <w:sz w:val="48"/>
          <w:szCs w:val="52"/>
          <w:highlight w:val="none"/>
          <w:lang w:val="en-US" w:eastAsia="zh-CN"/>
        </w:rPr>
        <w:t>轨道交通集团</w:t>
      </w:r>
      <w:r>
        <w:rPr>
          <w:rFonts w:hint="eastAsia" w:eastAsiaTheme="minorEastAsia"/>
          <w:b/>
          <w:color w:val="auto"/>
          <w:sz w:val="48"/>
          <w:szCs w:val="52"/>
          <w:highlight w:val="none"/>
        </w:rPr>
        <w:t>有限公司202</w:t>
      </w:r>
      <w:r>
        <w:rPr>
          <w:rFonts w:eastAsiaTheme="minorEastAsia"/>
          <w:b/>
          <w:color w:val="auto"/>
          <w:sz w:val="48"/>
          <w:szCs w:val="52"/>
          <w:highlight w:val="none"/>
        </w:rPr>
        <w:t>1</w:t>
      </w:r>
      <w:r>
        <w:rPr>
          <w:rFonts w:hint="eastAsia" w:eastAsiaTheme="minorEastAsia"/>
          <w:b/>
          <w:color w:val="auto"/>
          <w:sz w:val="48"/>
          <w:szCs w:val="52"/>
          <w:highlight w:val="none"/>
        </w:rPr>
        <w:t>年第</w:t>
      </w:r>
      <w:r>
        <w:rPr>
          <w:rFonts w:hint="eastAsia" w:eastAsiaTheme="minorEastAsia"/>
          <w:b/>
          <w:color w:val="auto"/>
          <w:sz w:val="48"/>
          <w:szCs w:val="52"/>
          <w:highlight w:val="none"/>
          <w:lang w:val="en-US" w:eastAsia="zh-CN"/>
        </w:rPr>
        <w:t>三</w:t>
      </w:r>
      <w:r>
        <w:rPr>
          <w:rFonts w:hint="eastAsia" w:eastAsiaTheme="minorEastAsia"/>
          <w:b/>
          <w:color w:val="auto"/>
          <w:sz w:val="48"/>
          <w:szCs w:val="52"/>
          <w:highlight w:val="none"/>
        </w:rPr>
        <w:t>批次招标代理机构比选</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比</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选</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文</w:t>
      </w:r>
    </w:p>
    <w:p>
      <w:pPr>
        <w:spacing w:line="720" w:lineRule="auto"/>
        <w:jc w:val="center"/>
        <w:rPr>
          <w:rFonts w:eastAsiaTheme="minorEastAsia"/>
          <w:b/>
          <w:bCs/>
          <w:color w:val="auto"/>
          <w:sz w:val="36"/>
          <w:szCs w:val="36"/>
          <w:highlight w:val="none"/>
        </w:rPr>
      </w:pPr>
      <w:r>
        <w:rPr>
          <w:rFonts w:eastAsiaTheme="minorEastAsia"/>
          <w:b/>
          <w:bCs/>
          <w:color w:val="auto"/>
          <w:sz w:val="72"/>
          <w:szCs w:val="72"/>
          <w:highlight w:val="none"/>
        </w:rPr>
        <w:t>件</w:t>
      </w:r>
    </w:p>
    <w:p>
      <w:pPr>
        <w:spacing w:line="360" w:lineRule="auto"/>
        <w:jc w:val="center"/>
        <w:rPr>
          <w:rFonts w:eastAsiaTheme="minorEastAsia"/>
          <w:b/>
          <w:bCs/>
          <w:color w:val="auto"/>
          <w:sz w:val="44"/>
          <w:szCs w:val="44"/>
          <w:highlight w:val="none"/>
        </w:rPr>
      </w:pPr>
      <w:r>
        <w:rPr>
          <w:rFonts w:eastAsiaTheme="minorEastAsia"/>
          <w:b/>
          <w:bCs/>
          <w:color w:val="auto"/>
          <w:sz w:val="44"/>
          <w:szCs w:val="44"/>
          <w:highlight w:val="none"/>
        </w:rPr>
        <w:t>比选人：</w:t>
      </w:r>
      <w:r>
        <w:rPr>
          <w:rFonts w:hint="eastAsia" w:eastAsiaTheme="minorEastAsia"/>
          <w:b/>
          <w:bCs/>
          <w:color w:val="auto"/>
          <w:sz w:val="44"/>
          <w:szCs w:val="44"/>
          <w:highlight w:val="none"/>
        </w:rPr>
        <w:t xml:space="preserve"> </w:t>
      </w:r>
      <w:r>
        <w:rPr>
          <w:rFonts w:hint="eastAsia" w:eastAsiaTheme="minorEastAsia"/>
          <w:b/>
          <w:color w:val="auto"/>
          <w:sz w:val="48"/>
          <w:szCs w:val="52"/>
          <w:highlight w:val="none"/>
        </w:rPr>
        <w:t>桂林市</w:t>
      </w:r>
      <w:r>
        <w:rPr>
          <w:rFonts w:hint="eastAsia" w:eastAsiaTheme="minorEastAsia"/>
          <w:b/>
          <w:color w:val="auto"/>
          <w:sz w:val="48"/>
          <w:szCs w:val="52"/>
          <w:highlight w:val="none"/>
          <w:lang w:val="en-US" w:eastAsia="zh-CN"/>
        </w:rPr>
        <w:t>轨道交通集团</w:t>
      </w:r>
      <w:r>
        <w:rPr>
          <w:rFonts w:hint="eastAsia" w:eastAsiaTheme="minorEastAsia"/>
          <w:b/>
          <w:color w:val="auto"/>
          <w:sz w:val="48"/>
          <w:szCs w:val="52"/>
          <w:highlight w:val="none"/>
        </w:rPr>
        <w:t>有限公司</w:t>
      </w:r>
    </w:p>
    <w:p>
      <w:pPr>
        <w:jc w:val="center"/>
        <w:rPr>
          <w:rFonts w:eastAsiaTheme="minorEastAsia"/>
          <w:b/>
          <w:color w:val="auto"/>
          <w:sz w:val="44"/>
          <w:szCs w:val="44"/>
          <w:highlight w:val="none"/>
        </w:rPr>
        <w:sectPr>
          <w:headerReference r:id="rId3" w:type="default"/>
          <w:footerReference r:id="rId4" w:type="default"/>
          <w:pgSz w:w="11906" w:h="16838"/>
          <w:pgMar w:top="1418" w:right="1418" w:bottom="1134" w:left="1418" w:header="851" w:footer="992" w:gutter="0"/>
          <w:pgNumType w:start="1"/>
          <w:cols w:space="720" w:num="1"/>
          <w:docGrid w:linePitch="312" w:charSpace="0"/>
        </w:sectPr>
      </w:pPr>
      <w:r>
        <w:rPr>
          <w:rFonts w:hint="eastAsia" w:eastAsiaTheme="minorEastAsia"/>
          <w:b/>
          <w:bCs/>
          <w:color w:val="auto"/>
          <w:sz w:val="44"/>
          <w:szCs w:val="44"/>
          <w:highlight w:val="none"/>
        </w:rPr>
        <w:t>2021年</w:t>
      </w:r>
      <w:r>
        <w:rPr>
          <w:rFonts w:hint="eastAsia" w:eastAsiaTheme="minorEastAsia"/>
          <w:b/>
          <w:bCs/>
          <w:color w:val="auto"/>
          <w:sz w:val="44"/>
          <w:szCs w:val="44"/>
          <w:highlight w:val="none"/>
          <w:lang w:val="en-US" w:eastAsia="zh-CN"/>
        </w:rPr>
        <w:t>5</w:t>
      </w:r>
      <w:r>
        <w:rPr>
          <w:rFonts w:eastAsiaTheme="minorEastAsia"/>
          <w:b/>
          <w:bCs/>
          <w:color w:val="auto"/>
          <w:sz w:val="44"/>
          <w:szCs w:val="44"/>
          <w:highlight w:val="none"/>
        </w:rPr>
        <w:t>月</w:t>
      </w:r>
    </w:p>
    <w:p>
      <w:pPr>
        <w:jc w:val="center"/>
        <w:rPr>
          <w:rFonts w:eastAsiaTheme="minorEastAsia"/>
          <w:b/>
          <w:color w:val="auto"/>
          <w:sz w:val="32"/>
          <w:szCs w:val="32"/>
          <w:highlight w:val="none"/>
        </w:rPr>
      </w:pPr>
      <w:r>
        <w:rPr>
          <w:rFonts w:eastAsiaTheme="minorEastAsia"/>
          <w:b/>
          <w:color w:val="auto"/>
          <w:sz w:val="32"/>
          <w:szCs w:val="32"/>
          <w:highlight w:val="none"/>
        </w:rPr>
        <w:t>目</w:t>
      </w:r>
      <w:r>
        <w:rPr>
          <w:rFonts w:hint="eastAsia" w:eastAsiaTheme="minorEastAsia"/>
          <w:b/>
          <w:color w:val="auto"/>
          <w:sz w:val="32"/>
          <w:szCs w:val="32"/>
          <w:highlight w:val="none"/>
        </w:rPr>
        <w:t xml:space="preserve">  </w:t>
      </w:r>
      <w:r>
        <w:rPr>
          <w:rFonts w:eastAsiaTheme="minorEastAsia"/>
          <w:b/>
          <w:color w:val="auto"/>
          <w:sz w:val="32"/>
          <w:szCs w:val="32"/>
          <w:highlight w:val="none"/>
        </w:rPr>
        <w:t>录</w:t>
      </w:r>
      <w:bookmarkEnd w:id="0"/>
      <w:bookmarkEnd w:id="1"/>
      <w:bookmarkEnd w:id="2"/>
      <w:bookmarkEnd w:id="3"/>
      <w:bookmarkEnd w:id="4"/>
      <w:bookmarkEnd w:id="5"/>
      <w:bookmarkEnd w:id="6"/>
      <w:bookmarkEnd w:id="7"/>
      <w:bookmarkEnd w:id="8"/>
      <w:bookmarkEnd w:id="9"/>
      <w:bookmarkEnd w:id="10"/>
      <w:bookmarkEnd w:id="11"/>
    </w:p>
    <w:p>
      <w:pPr>
        <w:jc w:val="center"/>
        <w:rPr>
          <w:rFonts w:eastAsiaTheme="minorEastAsia"/>
          <w:color w:val="auto"/>
          <w:sz w:val="24"/>
          <w:highlight w:val="none"/>
        </w:rPr>
      </w:pPr>
      <w:r>
        <w:rPr>
          <w:rFonts w:eastAsiaTheme="minorEastAsia"/>
          <w:color w:val="auto"/>
          <w:sz w:val="24"/>
          <w:highlight w:val="none"/>
        </w:rPr>
        <w:fldChar w:fldCharType="begin"/>
      </w:r>
      <w:r>
        <w:rPr>
          <w:rFonts w:eastAsiaTheme="minorEastAsia"/>
          <w:color w:val="auto"/>
          <w:sz w:val="24"/>
          <w:highlight w:val="none"/>
        </w:rPr>
        <w:instrText xml:space="preserve"> TOC \o "1-2" \h \z \u </w:instrText>
      </w:r>
      <w:r>
        <w:rPr>
          <w:rFonts w:eastAsiaTheme="minorEastAsia"/>
          <w:color w:val="auto"/>
          <w:sz w:val="24"/>
          <w:highlight w:val="none"/>
        </w:rPr>
        <w:fldChar w:fldCharType="separate"/>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"_Toc25139" </w:instrText>
      </w:r>
      <w:r>
        <w:rPr>
          <w:color w:val="auto"/>
          <w:highlight w:val="none"/>
        </w:rPr>
        <w:fldChar w:fldCharType="separate"/>
      </w:r>
      <w:r>
        <w:rPr>
          <w:rFonts w:eastAsiaTheme="minorEastAsia"/>
          <w:color w:val="auto"/>
          <w:sz w:val="24"/>
          <w:highlight w:val="none"/>
        </w:rPr>
        <w:t>第一章比选公告</w:t>
      </w:r>
      <w:r>
        <w:rPr>
          <w:color w:val="auto"/>
          <w:sz w:val="24"/>
          <w:highlight w:val="none"/>
        </w:rPr>
        <w:tab/>
      </w:r>
      <w:r>
        <w:rPr>
          <w:color w:val="auto"/>
          <w:sz w:val="24"/>
          <w:highlight w:val="none"/>
        </w:rPr>
        <w:fldChar w:fldCharType="begin"/>
      </w:r>
      <w:r>
        <w:rPr>
          <w:color w:val="auto"/>
          <w:sz w:val="24"/>
          <w:highlight w:val="none"/>
        </w:rPr>
        <w:instrText xml:space="preserve"> PAGEREF _Toc25139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"_Toc16619" </w:instrText>
      </w:r>
      <w:r>
        <w:rPr>
          <w:color w:val="auto"/>
          <w:highlight w:val="none"/>
        </w:rPr>
        <w:fldChar w:fldCharType="separate"/>
      </w:r>
      <w:r>
        <w:rPr>
          <w:rFonts w:eastAsiaTheme="minorEastAsia"/>
          <w:color w:val="auto"/>
          <w:sz w:val="24"/>
          <w:highlight w:val="none"/>
        </w:rPr>
        <w:t>一、项目概况</w:t>
      </w:r>
      <w:r>
        <w:rPr>
          <w:color w:val="auto"/>
          <w:sz w:val="24"/>
          <w:highlight w:val="none"/>
        </w:rPr>
        <w:tab/>
      </w:r>
      <w:r>
        <w:rPr>
          <w:color w:val="auto"/>
          <w:sz w:val="24"/>
          <w:highlight w:val="none"/>
        </w:rPr>
        <w:fldChar w:fldCharType="begin"/>
      </w:r>
      <w:r>
        <w:rPr>
          <w:color w:val="auto"/>
          <w:sz w:val="24"/>
          <w:highlight w:val="none"/>
        </w:rPr>
        <w:instrText xml:space="preserve"> PAGEREF _Toc16619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"_Toc23032" </w:instrText>
      </w:r>
      <w:r>
        <w:rPr>
          <w:color w:val="auto"/>
          <w:highlight w:val="none"/>
        </w:rPr>
        <w:fldChar w:fldCharType="separate"/>
      </w:r>
      <w:r>
        <w:rPr>
          <w:rFonts w:eastAsiaTheme="minorEastAsia"/>
          <w:color w:val="auto"/>
          <w:sz w:val="24"/>
          <w:highlight w:val="none"/>
        </w:rPr>
        <w:t>二、比选申请人资格要求</w:t>
      </w:r>
      <w:r>
        <w:rPr>
          <w:color w:val="auto"/>
          <w:sz w:val="24"/>
          <w:highlight w:val="none"/>
        </w:rPr>
        <w:tab/>
      </w:r>
      <w:r>
        <w:rPr>
          <w:color w:val="auto"/>
          <w:sz w:val="24"/>
          <w:highlight w:val="none"/>
        </w:rPr>
        <w:fldChar w:fldCharType="begin"/>
      </w:r>
      <w:r>
        <w:rPr>
          <w:color w:val="auto"/>
          <w:sz w:val="24"/>
          <w:highlight w:val="none"/>
        </w:rPr>
        <w:instrText xml:space="preserve"> PAGEREF _Toc23032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"_Toc2147" </w:instrText>
      </w:r>
      <w:r>
        <w:rPr>
          <w:color w:val="auto"/>
          <w:highlight w:val="none"/>
        </w:rPr>
        <w:fldChar w:fldCharType="separate"/>
      </w:r>
      <w:r>
        <w:rPr>
          <w:rFonts w:eastAsiaTheme="minorEastAsia"/>
          <w:color w:val="auto"/>
          <w:sz w:val="24"/>
          <w:highlight w:val="none"/>
        </w:rPr>
        <w:t>三、比选保证金</w:t>
      </w:r>
      <w:r>
        <w:rPr>
          <w:color w:val="auto"/>
          <w:sz w:val="24"/>
          <w:highlight w:val="none"/>
        </w:rPr>
        <w:tab/>
      </w:r>
      <w:r>
        <w:rPr>
          <w:color w:val="auto"/>
          <w:sz w:val="24"/>
          <w:highlight w:val="none"/>
        </w:rPr>
        <w:fldChar w:fldCharType="begin"/>
      </w:r>
      <w:r>
        <w:rPr>
          <w:color w:val="auto"/>
          <w:sz w:val="24"/>
          <w:highlight w:val="none"/>
        </w:rPr>
        <w:instrText xml:space="preserve"> PAGEREF _Toc2147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"_Toc1243" </w:instrText>
      </w:r>
      <w:r>
        <w:rPr>
          <w:color w:val="auto"/>
          <w:highlight w:val="none"/>
        </w:rPr>
        <w:fldChar w:fldCharType="separate"/>
      </w:r>
      <w:r>
        <w:rPr>
          <w:rFonts w:eastAsiaTheme="minorEastAsia"/>
          <w:color w:val="auto"/>
          <w:sz w:val="24"/>
          <w:highlight w:val="none"/>
        </w:rPr>
        <w:t>四、比选文件的获取</w:t>
      </w:r>
      <w:r>
        <w:rPr>
          <w:color w:val="auto"/>
          <w:sz w:val="24"/>
          <w:highlight w:val="none"/>
        </w:rPr>
        <w:tab/>
      </w:r>
      <w:r>
        <w:rPr>
          <w:color w:val="auto"/>
          <w:sz w:val="24"/>
          <w:highlight w:val="none"/>
        </w:rPr>
        <w:fldChar w:fldCharType="begin"/>
      </w:r>
      <w:r>
        <w:rPr>
          <w:color w:val="auto"/>
          <w:sz w:val="24"/>
          <w:highlight w:val="none"/>
        </w:rPr>
        <w:instrText xml:space="preserve"> PAGEREF _Toc1243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"_Toc23288" </w:instrText>
      </w:r>
      <w:r>
        <w:rPr>
          <w:color w:val="auto"/>
          <w:highlight w:val="none"/>
        </w:rPr>
        <w:fldChar w:fldCharType="separate"/>
      </w:r>
      <w:r>
        <w:rPr>
          <w:rFonts w:eastAsiaTheme="minorEastAsia"/>
          <w:color w:val="auto"/>
          <w:sz w:val="24"/>
          <w:highlight w:val="none"/>
        </w:rPr>
        <w:t>五、比选申请文件的递交</w:t>
      </w:r>
      <w:r>
        <w:rPr>
          <w:color w:val="auto"/>
          <w:sz w:val="24"/>
          <w:highlight w:val="none"/>
        </w:rPr>
        <w:tab/>
      </w:r>
      <w:r>
        <w:rPr>
          <w:color w:val="auto"/>
          <w:sz w:val="24"/>
          <w:highlight w:val="none"/>
        </w:rPr>
        <w:fldChar w:fldCharType="begin"/>
      </w:r>
      <w:r>
        <w:rPr>
          <w:color w:val="auto"/>
          <w:sz w:val="24"/>
          <w:highlight w:val="none"/>
        </w:rPr>
        <w:instrText xml:space="preserve"> PAGEREF _Toc23288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"_Toc3587" </w:instrText>
      </w:r>
      <w:r>
        <w:rPr>
          <w:color w:val="auto"/>
          <w:highlight w:val="none"/>
        </w:rPr>
        <w:fldChar w:fldCharType="separate"/>
      </w:r>
      <w:r>
        <w:rPr>
          <w:rFonts w:eastAsiaTheme="minorEastAsia"/>
          <w:color w:val="auto"/>
          <w:sz w:val="24"/>
          <w:highlight w:val="none"/>
        </w:rPr>
        <w:t>六、比选人联系方式</w:t>
      </w:r>
      <w:r>
        <w:rPr>
          <w:color w:val="auto"/>
          <w:sz w:val="24"/>
          <w:highlight w:val="none"/>
        </w:rPr>
        <w:tab/>
      </w:r>
      <w:r>
        <w:rPr>
          <w:color w:val="auto"/>
          <w:sz w:val="24"/>
          <w:highlight w:val="none"/>
        </w:rPr>
        <w:fldChar w:fldCharType="begin"/>
      </w:r>
      <w:r>
        <w:rPr>
          <w:color w:val="auto"/>
          <w:sz w:val="24"/>
          <w:highlight w:val="none"/>
        </w:rPr>
        <w:instrText xml:space="preserve"> PAGEREF _Toc3587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"_Toc19697" </w:instrText>
      </w:r>
      <w:r>
        <w:rPr>
          <w:color w:val="auto"/>
          <w:highlight w:val="none"/>
        </w:rPr>
        <w:fldChar w:fldCharType="separate"/>
      </w:r>
      <w:r>
        <w:rPr>
          <w:rFonts w:hint="eastAsia" w:eastAsiaTheme="minorEastAsia"/>
          <w:color w:val="auto"/>
          <w:sz w:val="24"/>
          <w:highlight w:val="none"/>
        </w:rPr>
        <w:t>七、公告附表</w:t>
      </w:r>
      <w:r>
        <w:rPr>
          <w:color w:val="auto"/>
          <w:sz w:val="24"/>
          <w:highlight w:val="none"/>
        </w:rPr>
        <w:tab/>
      </w:r>
      <w:r>
        <w:rPr>
          <w:color w:val="auto"/>
          <w:sz w:val="24"/>
          <w:highlight w:val="none"/>
        </w:rPr>
        <w:fldChar w:fldCharType="begin"/>
      </w:r>
      <w:r>
        <w:rPr>
          <w:color w:val="auto"/>
          <w:sz w:val="24"/>
          <w:highlight w:val="none"/>
        </w:rPr>
        <w:instrText xml:space="preserve"> PAGEREF _Toc19697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"_Toc24426" </w:instrText>
      </w:r>
      <w:r>
        <w:rPr>
          <w:color w:val="auto"/>
          <w:highlight w:val="none"/>
        </w:rPr>
        <w:fldChar w:fldCharType="separate"/>
      </w:r>
      <w:r>
        <w:rPr>
          <w:rFonts w:eastAsiaTheme="minorEastAsia"/>
          <w:color w:val="auto"/>
          <w:sz w:val="24"/>
          <w:highlight w:val="none"/>
        </w:rPr>
        <w:t>第二章比选须知</w:t>
      </w:r>
      <w:r>
        <w:rPr>
          <w:color w:val="auto"/>
          <w:sz w:val="24"/>
          <w:highlight w:val="none"/>
        </w:rPr>
        <w:tab/>
      </w:r>
      <w:r>
        <w:rPr>
          <w:color w:val="auto"/>
          <w:sz w:val="24"/>
          <w:highlight w:val="none"/>
        </w:rPr>
        <w:fldChar w:fldCharType="begin"/>
      </w:r>
      <w:r>
        <w:rPr>
          <w:color w:val="auto"/>
          <w:sz w:val="24"/>
          <w:highlight w:val="none"/>
        </w:rPr>
        <w:instrText xml:space="preserve"> PAGEREF _Toc24426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"_Toc29670" </w:instrText>
      </w:r>
      <w:r>
        <w:rPr>
          <w:color w:val="auto"/>
          <w:highlight w:val="none"/>
        </w:rPr>
        <w:fldChar w:fldCharType="separate"/>
      </w:r>
      <w:r>
        <w:rPr>
          <w:rFonts w:eastAsiaTheme="minorEastAsia"/>
          <w:color w:val="auto"/>
          <w:sz w:val="24"/>
          <w:highlight w:val="none"/>
        </w:rPr>
        <w:t>前附表</w:t>
      </w:r>
      <w:r>
        <w:rPr>
          <w:color w:val="auto"/>
          <w:sz w:val="24"/>
          <w:highlight w:val="none"/>
        </w:rPr>
        <w:tab/>
      </w:r>
      <w:r>
        <w:rPr>
          <w:color w:val="auto"/>
          <w:sz w:val="24"/>
          <w:highlight w:val="none"/>
        </w:rPr>
        <w:fldChar w:fldCharType="begin"/>
      </w:r>
      <w:r>
        <w:rPr>
          <w:color w:val="auto"/>
          <w:sz w:val="24"/>
          <w:highlight w:val="none"/>
        </w:rPr>
        <w:instrText xml:space="preserve"> PAGEREF _Toc29670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"_Toc26027" </w:instrText>
      </w:r>
      <w:r>
        <w:rPr>
          <w:color w:val="auto"/>
          <w:highlight w:val="none"/>
        </w:rPr>
        <w:fldChar w:fldCharType="separate"/>
      </w:r>
      <w:r>
        <w:rPr>
          <w:rFonts w:eastAsiaTheme="minorEastAsia"/>
          <w:color w:val="auto"/>
          <w:sz w:val="24"/>
          <w:highlight w:val="none"/>
        </w:rPr>
        <w:t>一、总则</w:t>
      </w:r>
      <w:r>
        <w:rPr>
          <w:color w:val="auto"/>
          <w:sz w:val="24"/>
          <w:highlight w:val="none"/>
        </w:rPr>
        <w:tab/>
      </w:r>
      <w:r>
        <w:rPr>
          <w:color w:val="auto"/>
          <w:sz w:val="24"/>
          <w:highlight w:val="none"/>
        </w:rPr>
        <w:fldChar w:fldCharType="begin"/>
      </w:r>
      <w:r>
        <w:rPr>
          <w:color w:val="auto"/>
          <w:sz w:val="24"/>
          <w:highlight w:val="none"/>
        </w:rPr>
        <w:instrText xml:space="preserve"> PAGEREF _Toc26027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"_Toc2530" </w:instrText>
      </w:r>
      <w:r>
        <w:rPr>
          <w:color w:val="auto"/>
          <w:highlight w:val="none"/>
        </w:rPr>
        <w:fldChar w:fldCharType="separate"/>
      </w:r>
      <w:r>
        <w:rPr>
          <w:rFonts w:eastAsiaTheme="minorEastAsia"/>
          <w:color w:val="auto"/>
          <w:sz w:val="24"/>
          <w:highlight w:val="none"/>
        </w:rPr>
        <w:t>二、比选文件</w:t>
      </w:r>
      <w:r>
        <w:rPr>
          <w:color w:val="auto"/>
          <w:sz w:val="24"/>
          <w:highlight w:val="none"/>
        </w:rPr>
        <w:tab/>
      </w:r>
      <w:r>
        <w:rPr>
          <w:color w:val="auto"/>
          <w:sz w:val="24"/>
          <w:highlight w:val="none"/>
        </w:rPr>
        <w:fldChar w:fldCharType="begin"/>
      </w:r>
      <w:r>
        <w:rPr>
          <w:color w:val="auto"/>
          <w:sz w:val="24"/>
          <w:highlight w:val="none"/>
        </w:rPr>
        <w:instrText xml:space="preserve"> PAGEREF _Toc2530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"_Toc23318" </w:instrText>
      </w:r>
      <w:r>
        <w:rPr>
          <w:color w:val="auto"/>
          <w:highlight w:val="none"/>
        </w:rPr>
        <w:fldChar w:fldCharType="separate"/>
      </w:r>
      <w:r>
        <w:rPr>
          <w:rFonts w:eastAsiaTheme="minorEastAsia"/>
          <w:color w:val="auto"/>
          <w:sz w:val="24"/>
          <w:highlight w:val="none"/>
        </w:rPr>
        <w:t>三、比选报价说明</w:t>
      </w:r>
      <w:r>
        <w:rPr>
          <w:color w:val="auto"/>
          <w:sz w:val="24"/>
          <w:highlight w:val="none"/>
        </w:rPr>
        <w:tab/>
      </w:r>
      <w:r>
        <w:rPr>
          <w:color w:val="auto"/>
          <w:sz w:val="24"/>
          <w:highlight w:val="none"/>
        </w:rPr>
        <w:fldChar w:fldCharType="begin"/>
      </w:r>
      <w:r>
        <w:rPr>
          <w:color w:val="auto"/>
          <w:sz w:val="24"/>
          <w:highlight w:val="none"/>
        </w:rPr>
        <w:instrText xml:space="preserve"> PAGEREF _Toc23318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"_Toc28321" </w:instrText>
      </w:r>
      <w:r>
        <w:rPr>
          <w:color w:val="auto"/>
          <w:highlight w:val="none"/>
        </w:rPr>
        <w:fldChar w:fldCharType="separate"/>
      </w:r>
      <w:r>
        <w:rPr>
          <w:rFonts w:eastAsiaTheme="minorEastAsia"/>
          <w:color w:val="auto"/>
          <w:sz w:val="24"/>
          <w:highlight w:val="none"/>
        </w:rPr>
        <w:t>四、比选申请文件的编制</w:t>
      </w:r>
      <w:r>
        <w:rPr>
          <w:color w:val="auto"/>
          <w:sz w:val="24"/>
          <w:highlight w:val="none"/>
        </w:rPr>
        <w:tab/>
      </w:r>
      <w:r>
        <w:rPr>
          <w:color w:val="auto"/>
          <w:sz w:val="24"/>
          <w:highlight w:val="none"/>
        </w:rPr>
        <w:fldChar w:fldCharType="begin"/>
      </w:r>
      <w:r>
        <w:rPr>
          <w:color w:val="auto"/>
          <w:sz w:val="24"/>
          <w:highlight w:val="none"/>
        </w:rPr>
        <w:instrText xml:space="preserve"> PAGEREF _Toc28321 </w:instrText>
      </w:r>
      <w:r>
        <w:rPr>
          <w:color w:val="auto"/>
          <w:sz w:val="24"/>
          <w:highlight w:val="none"/>
        </w:rPr>
        <w:fldChar w:fldCharType="separate"/>
      </w:r>
      <w:r>
        <w:rPr>
          <w:color w:val="auto"/>
          <w:sz w:val="24"/>
          <w:highlight w:val="none"/>
        </w:rPr>
        <w:t>7</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"_Toc7291" </w:instrText>
      </w:r>
      <w:r>
        <w:rPr>
          <w:color w:val="auto"/>
          <w:highlight w:val="none"/>
        </w:rPr>
        <w:fldChar w:fldCharType="separate"/>
      </w:r>
      <w:r>
        <w:rPr>
          <w:rFonts w:eastAsiaTheme="minorEastAsia"/>
          <w:color w:val="auto"/>
          <w:sz w:val="24"/>
          <w:highlight w:val="none"/>
        </w:rPr>
        <w:t>五、比选申请文件的递交</w:t>
      </w:r>
      <w:r>
        <w:rPr>
          <w:color w:val="auto"/>
          <w:sz w:val="24"/>
          <w:highlight w:val="none"/>
        </w:rPr>
        <w:tab/>
      </w:r>
      <w:r>
        <w:rPr>
          <w:color w:val="auto"/>
          <w:sz w:val="24"/>
          <w:highlight w:val="none"/>
        </w:rPr>
        <w:fldChar w:fldCharType="begin"/>
      </w:r>
      <w:r>
        <w:rPr>
          <w:color w:val="auto"/>
          <w:sz w:val="24"/>
          <w:highlight w:val="none"/>
        </w:rPr>
        <w:instrText xml:space="preserve"> PAGEREF _Toc7291 </w:instrText>
      </w:r>
      <w:r>
        <w:rPr>
          <w:color w:val="auto"/>
          <w:sz w:val="24"/>
          <w:highlight w:val="none"/>
        </w:rPr>
        <w:fldChar w:fldCharType="separate"/>
      </w:r>
      <w:r>
        <w:rPr>
          <w:color w:val="auto"/>
          <w:sz w:val="24"/>
          <w:highlight w:val="none"/>
        </w:rPr>
        <w:t>8</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"_Toc8107" </w:instrText>
      </w:r>
      <w:r>
        <w:rPr>
          <w:color w:val="auto"/>
          <w:highlight w:val="none"/>
        </w:rPr>
        <w:fldChar w:fldCharType="separate"/>
      </w:r>
      <w:r>
        <w:rPr>
          <w:rFonts w:eastAsiaTheme="minorEastAsia"/>
          <w:color w:val="auto"/>
          <w:sz w:val="24"/>
          <w:highlight w:val="none"/>
        </w:rPr>
        <w:t>六、评比</w:t>
      </w:r>
      <w:r>
        <w:rPr>
          <w:color w:val="auto"/>
          <w:sz w:val="24"/>
          <w:highlight w:val="none"/>
        </w:rPr>
        <w:tab/>
      </w:r>
      <w:r>
        <w:rPr>
          <w:color w:val="auto"/>
          <w:sz w:val="24"/>
          <w:highlight w:val="none"/>
        </w:rPr>
        <w:fldChar w:fldCharType="begin"/>
      </w:r>
      <w:r>
        <w:rPr>
          <w:color w:val="auto"/>
          <w:sz w:val="24"/>
          <w:highlight w:val="none"/>
        </w:rPr>
        <w:instrText xml:space="preserve"> PAGEREF _Toc8107 </w:instrText>
      </w:r>
      <w:r>
        <w:rPr>
          <w:color w:val="auto"/>
          <w:sz w:val="24"/>
          <w:highlight w:val="none"/>
        </w:rPr>
        <w:fldChar w:fldCharType="separate"/>
      </w:r>
      <w:r>
        <w:rPr>
          <w:color w:val="auto"/>
          <w:sz w:val="24"/>
          <w:highlight w:val="none"/>
        </w:rPr>
        <w:t>9</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"_Toc23892" </w:instrText>
      </w:r>
      <w:r>
        <w:rPr>
          <w:color w:val="auto"/>
          <w:highlight w:val="none"/>
        </w:rPr>
        <w:fldChar w:fldCharType="separate"/>
      </w:r>
      <w:r>
        <w:rPr>
          <w:rFonts w:eastAsiaTheme="minorEastAsia"/>
          <w:color w:val="auto"/>
          <w:sz w:val="24"/>
          <w:highlight w:val="none"/>
        </w:rPr>
        <w:t>七、授予合同</w:t>
      </w:r>
      <w:r>
        <w:rPr>
          <w:color w:val="auto"/>
          <w:sz w:val="24"/>
          <w:highlight w:val="none"/>
        </w:rPr>
        <w:tab/>
      </w:r>
      <w:r>
        <w:rPr>
          <w:color w:val="auto"/>
          <w:sz w:val="24"/>
          <w:highlight w:val="none"/>
        </w:rPr>
        <w:fldChar w:fldCharType="begin"/>
      </w:r>
      <w:r>
        <w:rPr>
          <w:color w:val="auto"/>
          <w:sz w:val="24"/>
          <w:highlight w:val="none"/>
        </w:rPr>
        <w:instrText xml:space="preserve"> PAGEREF _Toc23892 </w:instrText>
      </w:r>
      <w:r>
        <w:rPr>
          <w:color w:val="auto"/>
          <w:sz w:val="24"/>
          <w:highlight w:val="none"/>
        </w:rPr>
        <w:fldChar w:fldCharType="separate"/>
      </w:r>
      <w:r>
        <w:rPr>
          <w:color w:val="auto"/>
          <w:sz w:val="24"/>
          <w:highlight w:val="none"/>
        </w:rPr>
        <w:t>9</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"_Toc18010" </w:instrText>
      </w:r>
      <w:r>
        <w:rPr>
          <w:color w:val="auto"/>
          <w:highlight w:val="none"/>
        </w:rPr>
        <w:fldChar w:fldCharType="separate"/>
      </w:r>
      <w:r>
        <w:rPr>
          <w:rFonts w:eastAsiaTheme="minorEastAsia"/>
          <w:color w:val="auto"/>
          <w:sz w:val="24"/>
          <w:highlight w:val="none"/>
        </w:rPr>
        <w:t>第三章合同条款</w:t>
      </w:r>
      <w:r>
        <w:rPr>
          <w:color w:val="auto"/>
          <w:sz w:val="24"/>
          <w:highlight w:val="none"/>
        </w:rPr>
        <w:tab/>
      </w:r>
      <w:r>
        <w:rPr>
          <w:color w:val="auto"/>
          <w:sz w:val="24"/>
          <w:highlight w:val="none"/>
        </w:rPr>
        <w:fldChar w:fldCharType="begin"/>
      </w:r>
      <w:r>
        <w:rPr>
          <w:color w:val="auto"/>
          <w:sz w:val="24"/>
          <w:highlight w:val="none"/>
        </w:rPr>
        <w:instrText xml:space="preserve"> PAGEREF _Toc18010 </w:instrText>
      </w:r>
      <w:r>
        <w:rPr>
          <w:color w:val="auto"/>
          <w:sz w:val="24"/>
          <w:highlight w:val="none"/>
        </w:rPr>
        <w:fldChar w:fldCharType="separate"/>
      </w:r>
      <w:r>
        <w:rPr>
          <w:color w:val="auto"/>
          <w:sz w:val="24"/>
          <w:highlight w:val="none"/>
        </w:rPr>
        <w:t>11</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"_Toc32308" </w:instrText>
      </w:r>
      <w:r>
        <w:rPr>
          <w:color w:val="auto"/>
          <w:highlight w:val="none"/>
        </w:rPr>
        <w:fldChar w:fldCharType="separate"/>
      </w:r>
      <w:r>
        <w:rPr>
          <w:rFonts w:eastAsiaTheme="minorEastAsia"/>
          <w:color w:val="auto"/>
          <w:sz w:val="24"/>
          <w:highlight w:val="none"/>
        </w:rPr>
        <w:t>工程建设项目招标代理协议书</w:t>
      </w:r>
      <w:r>
        <w:rPr>
          <w:color w:val="auto"/>
          <w:sz w:val="24"/>
          <w:highlight w:val="none"/>
        </w:rPr>
        <w:tab/>
      </w:r>
      <w:r>
        <w:rPr>
          <w:color w:val="auto"/>
          <w:sz w:val="24"/>
          <w:highlight w:val="none"/>
        </w:rPr>
        <w:fldChar w:fldCharType="begin"/>
      </w:r>
      <w:r>
        <w:rPr>
          <w:color w:val="auto"/>
          <w:sz w:val="24"/>
          <w:highlight w:val="none"/>
        </w:rPr>
        <w:instrText xml:space="preserve"> PAGEREF _Toc32308 </w:instrText>
      </w:r>
      <w:r>
        <w:rPr>
          <w:color w:val="auto"/>
          <w:sz w:val="24"/>
          <w:highlight w:val="none"/>
        </w:rPr>
        <w:fldChar w:fldCharType="separate"/>
      </w:r>
      <w:r>
        <w:rPr>
          <w:color w:val="auto"/>
          <w:sz w:val="24"/>
          <w:highlight w:val="none"/>
        </w:rPr>
        <w:t>11</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"_Toc13075" </w:instrText>
      </w:r>
      <w:r>
        <w:rPr>
          <w:color w:val="auto"/>
          <w:highlight w:val="none"/>
        </w:rPr>
        <w:fldChar w:fldCharType="separate"/>
      </w:r>
      <w:r>
        <w:rPr>
          <w:rFonts w:eastAsiaTheme="minorEastAsia"/>
          <w:color w:val="auto"/>
          <w:sz w:val="24"/>
          <w:highlight w:val="none"/>
        </w:rPr>
        <w:t>第一部分通用条款</w:t>
      </w:r>
      <w:r>
        <w:rPr>
          <w:color w:val="auto"/>
          <w:sz w:val="24"/>
          <w:highlight w:val="none"/>
        </w:rPr>
        <w:tab/>
      </w:r>
      <w:r>
        <w:rPr>
          <w:color w:val="auto"/>
          <w:sz w:val="24"/>
          <w:highlight w:val="none"/>
        </w:rPr>
        <w:fldChar w:fldCharType="begin"/>
      </w:r>
      <w:r>
        <w:rPr>
          <w:color w:val="auto"/>
          <w:sz w:val="24"/>
          <w:highlight w:val="none"/>
        </w:rPr>
        <w:instrText xml:space="preserve"> PAGEREF _Toc13075 </w:instrText>
      </w:r>
      <w:r>
        <w:rPr>
          <w:color w:val="auto"/>
          <w:sz w:val="24"/>
          <w:highlight w:val="none"/>
        </w:rPr>
        <w:fldChar w:fldCharType="separate"/>
      </w:r>
      <w:r>
        <w:rPr>
          <w:color w:val="auto"/>
          <w:sz w:val="24"/>
          <w:highlight w:val="none"/>
        </w:rPr>
        <w:t>14</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"_Toc8094" </w:instrText>
      </w:r>
      <w:r>
        <w:rPr>
          <w:color w:val="auto"/>
          <w:highlight w:val="none"/>
        </w:rPr>
        <w:fldChar w:fldCharType="separate"/>
      </w:r>
      <w:r>
        <w:rPr>
          <w:rFonts w:eastAsiaTheme="minorEastAsia"/>
          <w:color w:val="auto"/>
          <w:sz w:val="24"/>
          <w:highlight w:val="none"/>
        </w:rPr>
        <w:t>第二部分专用条款</w:t>
      </w:r>
      <w:r>
        <w:rPr>
          <w:color w:val="auto"/>
          <w:sz w:val="24"/>
          <w:highlight w:val="none"/>
        </w:rPr>
        <w:tab/>
      </w:r>
      <w:r>
        <w:rPr>
          <w:color w:val="auto"/>
          <w:sz w:val="24"/>
          <w:highlight w:val="none"/>
        </w:rPr>
        <w:fldChar w:fldCharType="begin"/>
      </w:r>
      <w:r>
        <w:rPr>
          <w:color w:val="auto"/>
          <w:sz w:val="24"/>
          <w:highlight w:val="none"/>
        </w:rPr>
        <w:instrText xml:space="preserve"> PAGEREF _Toc8094 </w:instrText>
      </w:r>
      <w:r>
        <w:rPr>
          <w:color w:val="auto"/>
          <w:sz w:val="24"/>
          <w:highlight w:val="none"/>
        </w:rPr>
        <w:fldChar w:fldCharType="separate"/>
      </w:r>
      <w:r>
        <w:rPr>
          <w:color w:val="auto"/>
          <w:sz w:val="24"/>
          <w:highlight w:val="none"/>
        </w:rPr>
        <w:t>21</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"_Toc5941" </w:instrText>
      </w:r>
      <w:r>
        <w:rPr>
          <w:color w:val="auto"/>
          <w:highlight w:val="none"/>
        </w:rPr>
        <w:fldChar w:fldCharType="separate"/>
      </w:r>
      <w:r>
        <w:rPr>
          <w:rFonts w:eastAsiaTheme="minorEastAsia"/>
          <w:color w:val="auto"/>
          <w:sz w:val="24"/>
          <w:highlight w:val="none"/>
        </w:rPr>
        <w:t>第四章比选申请文件格式</w:t>
      </w:r>
      <w:r>
        <w:rPr>
          <w:color w:val="auto"/>
          <w:sz w:val="24"/>
          <w:highlight w:val="none"/>
        </w:rPr>
        <w:tab/>
      </w:r>
      <w:r>
        <w:rPr>
          <w:color w:val="auto"/>
          <w:sz w:val="24"/>
          <w:highlight w:val="none"/>
        </w:rPr>
        <w:fldChar w:fldCharType="begin"/>
      </w:r>
      <w:r>
        <w:rPr>
          <w:color w:val="auto"/>
          <w:sz w:val="24"/>
          <w:highlight w:val="none"/>
        </w:rPr>
        <w:instrText xml:space="preserve"> PAGEREF _Toc5941 </w:instrText>
      </w:r>
      <w:r>
        <w:rPr>
          <w:color w:val="auto"/>
          <w:sz w:val="24"/>
          <w:highlight w:val="none"/>
        </w:rPr>
        <w:fldChar w:fldCharType="separate"/>
      </w:r>
      <w:r>
        <w:rPr>
          <w:color w:val="auto"/>
          <w:sz w:val="24"/>
          <w:highlight w:val="none"/>
        </w:rPr>
        <w:t>26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"_Toc7352" </w:instrText>
      </w:r>
      <w:r>
        <w:rPr>
          <w:color w:val="auto"/>
          <w:highlight w:val="none"/>
        </w:rPr>
        <w:fldChar w:fldCharType="separate"/>
      </w:r>
      <w:r>
        <w:rPr>
          <w:rFonts w:eastAsiaTheme="minorEastAsia"/>
          <w:color w:val="auto"/>
          <w:sz w:val="24"/>
          <w:highlight w:val="none"/>
        </w:rPr>
        <w:t>一、报价部分格式</w:t>
      </w:r>
      <w:r>
        <w:rPr>
          <w:color w:val="auto"/>
          <w:sz w:val="24"/>
          <w:highlight w:val="none"/>
        </w:rPr>
        <w:tab/>
      </w:r>
      <w:r>
        <w:rPr>
          <w:color w:val="auto"/>
          <w:sz w:val="24"/>
          <w:highlight w:val="none"/>
        </w:rPr>
        <w:fldChar w:fldCharType="begin"/>
      </w:r>
      <w:r>
        <w:rPr>
          <w:color w:val="auto"/>
          <w:sz w:val="24"/>
          <w:highlight w:val="none"/>
        </w:rPr>
        <w:instrText xml:space="preserve"> PAGEREF _Toc7352 </w:instrText>
      </w:r>
      <w:r>
        <w:rPr>
          <w:color w:val="auto"/>
          <w:sz w:val="24"/>
          <w:highlight w:val="none"/>
        </w:rPr>
        <w:fldChar w:fldCharType="separate"/>
      </w:r>
      <w:r>
        <w:rPr>
          <w:color w:val="auto"/>
          <w:sz w:val="24"/>
          <w:highlight w:val="none"/>
        </w:rPr>
        <w:t>27</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"_Toc7050" </w:instrText>
      </w:r>
      <w:r>
        <w:rPr>
          <w:color w:val="auto"/>
          <w:highlight w:val="none"/>
        </w:rPr>
        <w:fldChar w:fldCharType="separate"/>
      </w:r>
      <w:r>
        <w:rPr>
          <w:rFonts w:hint="eastAsia" w:eastAsiaTheme="minorEastAsia"/>
          <w:color w:val="auto"/>
          <w:sz w:val="24"/>
          <w:highlight w:val="none"/>
        </w:rPr>
        <w:t>二</w:t>
      </w:r>
      <w:r>
        <w:rPr>
          <w:rFonts w:eastAsiaTheme="minorEastAsia"/>
          <w:color w:val="auto"/>
          <w:sz w:val="24"/>
          <w:highlight w:val="none"/>
        </w:rPr>
        <w:t>、资信部分格式</w:t>
      </w:r>
      <w:r>
        <w:rPr>
          <w:color w:val="auto"/>
          <w:sz w:val="24"/>
          <w:highlight w:val="none"/>
        </w:rPr>
        <w:tab/>
      </w:r>
      <w:r>
        <w:rPr>
          <w:color w:val="auto"/>
          <w:sz w:val="24"/>
          <w:highlight w:val="none"/>
        </w:rPr>
        <w:fldChar w:fldCharType="begin"/>
      </w:r>
      <w:r>
        <w:rPr>
          <w:color w:val="auto"/>
          <w:sz w:val="24"/>
          <w:highlight w:val="none"/>
        </w:rPr>
        <w:instrText xml:space="preserve"> PAGEREF _Toc7050 </w:instrText>
      </w:r>
      <w:r>
        <w:rPr>
          <w:color w:val="auto"/>
          <w:sz w:val="24"/>
          <w:highlight w:val="none"/>
        </w:rPr>
        <w:fldChar w:fldCharType="separate"/>
      </w:r>
      <w:r>
        <w:rPr>
          <w:color w:val="auto"/>
          <w:sz w:val="24"/>
          <w:highlight w:val="none"/>
        </w:rPr>
        <w:t>28</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"_Toc13428" </w:instrText>
      </w:r>
      <w:r>
        <w:rPr>
          <w:color w:val="auto"/>
          <w:highlight w:val="none"/>
        </w:rPr>
        <w:fldChar w:fldCharType="separate"/>
      </w:r>
      <w:r>
        <w:rPr>
          <w:rFonts w:hint="eastAsia" w:eastAsiaTheme="minorEastAsia"/>
          <w:color w:val="auto"/>
          <w:sz w:val="24"/>
          <w:highlight w:val="none"/>
        </w:rPr>
        <w:t>三</w:t>
      </w:r>
      <w:r>
        <w:rPr>
          <w:rFonts w:eastAsiaTheme="minorEastAsia"/>
          <w:color w:val="auto"/>
          <w:sz w:val="24"/>
          <w:highlight w:val="none"/>
        </w:rPr>
        <w:t>、技术部分格式</w:t>
      </w:r>
      <w:r>
        <w:rPr>
          <w:color w:val="auto"/>
          <w:sz w:val="24"/>
          <w:highlight w:val="none"/>
        </w:rPr>
        <w:tab/>
      </w:r>
      <w:r>
        <w:rPr>
          <w:color w:val="auto"/>
          <w:sz w:val="24"/>
          <w:highlight w:val="none"/>
        </w:rPr>
        <w:fldChar w:fldCharType="begin"/>
      </w:r>
      <w:r>
        <w:rPr>
          <w:color w:val="auto"/>
          <w:sz w:val="24"/>
          <w:highlight w:val="none"/>
        </w:rPr>
        <w:instrText xml:space="preserve"> PAGEREF _Toc13428 </w:instrText>
      </w:r>
      <w:r>
        <w:rPr>
          <w:color w:val="auto"/>
          <w:sz w:val="24"/>
          <w:highlight w:val="none"/>
        </w:rPr>
        <w:fldChar w:fldCharType="separate"/>
      </w:r>
      <w:r>
        <w:rPr>
          <w:color w:val="auto"/>
          <w:sz w:val="24"/>
          <w:highlight w:val="none"/>
        </w:rPr>
        <w:t>28</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"_Toc8002" </w:instrText>
      </w:r>
      <w:r>
        <w:rPr>
          <w:color w:val="auto"/>
          <w:highlight w:val="none"/>
        </w:rPr>
        <w:fldChar w:fldCharType="separate"/>
      </w:r>
      <w:r>
        <w:rPr>
          <w:rFonts w:eastAsiaTheme="minorEastAsia"/>
          <w:color w:val="auto"/>
          <w:sz w:val="24"/>
          <w:highlight w:val="none"/>
        </w:rPr>
        <w:t>第五章</w:t>
      </w:r>
      <w:r>
        <w:rPr>
          <w:rFonts w:hint="eastAsia" w:eastAsiaTheme="minorEastAsia"/>
          <w:color w:val="auto"/>
          <w:sz w:val="24"/>
          <w:highlight w:val="none"/>
        </w:rPr>
        <w:t xml:space="preserve">  </w:t>
      </w:r>
      <w:r>
        <w:rPr>
          <w:rFonts w:eastAsiaTheme="minorEastAsia"/>
          <w:color w:val="auto"/>
          <w:sz w:val="24"/>
          <w:highlight w:val="none"/>
        </w:rPr>
        <w:t>评比办法</w:t>
      </w:r>
      <w:r>
        <w:rPr>
          <w:color w:val="auto"/>
          <w:sz w:val="24"/>
          <w:highlight w:val="none"/>
        </w:rPr>
        <w:tab/>
      </w:r>
      <w:r>
        <w:rPr>
          <w:color w:val="auto"/>
          <w:sz w:val="24"/>
          <w:highlight w:val="none"/>
        </w:rPr>
        <w:fldChar w:fldCharType="begin"/>
      </w:r>
      <w:r>
        <w:rPr>
          <w:color w:val="auto"/>
          <w:sz w:val="24"/>
          <w:highlight w:val="none"/>
        </w:rPr>
        <w:instrText xml:space="preserve"> PAGEREF _Toc8002 </w:instrText>
      </w:r>
      <w:r>
        <w:rPr>
          <w:color w:val="auto"/>
          <w:sz w:val="24"/>
          <w:highlight w:val="none"/>
        </w:rPr>
        <w:fldChar w:fldCharType="separate"/>
      </w:r>
      <w:r>
        <w:rPr>
          <w:color w:val="auto"/>
          <w:sz w:val="24"/>
          <w:highlight w:val="none"/>
        </w:rPr>
        <w:t>29</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"_Toc7462" </w:instrText>
      </w:r>
      <w:r>
        <w:rPr>
          <w:color w:val="auto"/>
          <w:highlight w:val="none"/>
        </w:rPr>
        <w:fldChar w:fldCharType="separate"/>
      </w:r>
      <w:r>
        <w:rPr>
          <w:rFonts w:eastAsiaTheme="minorEastAsia"/>
          <w:color w:val="auto"/>
          <w:sz w:val="24"/>
          <w:highlight w:val="none"/>
        </w:rPr>
        <w:t>一、评比方法</w:t>
      </w:r>
      <w:r>
        <w:rPr>
          <w:color w:val="auto"/>
          <w:sz w:val="24"/>
          <w:highlight w:val="none"/>
        </w:rPr>
        <w:tab/>
      </w:r>
      <w:r>
        <w:rPr>
          <w:color w:val="auto"/>
          <w:sz w:val="24"/>
          <w:highlight w:val="none"/>
        </w:rPr>
        <w:fldChar w:fldCharType="begin"/>
      </w:r>
      <w:r>
        <w:rPr>
          <w:color w:val="auto"/>
          <w:sz w:val="24"/>
          <w:highlight w:val="none"/>
        </w:rPr>
        <w:instrText xml:space="preserve"> PAGEREF _Toc7462 </w:instrText>
      </w:r>
      <w:r>
        <w:rPr>
          <w:color w:val="auto"/>
          <w:sz w:val="24"/>
          <w:highlight w:val="none"/>
        </w:rPr>
        <w:fldChar w:fldCharType="separate"/>
      </w:r>
      <w:r>
        <w:rPr>
          <w:color w:val="auto"/>
          <w:sz w:val="24"/>
          <w:highlight w:val="none"/>
        </w:rPr>
        <w:t>29</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"_Toc3005" </w:instrText>
      </w:r>
      <w:r>
        <w:rPr>
          <w:color w:val="auto"/>
          <w:highlight w:val="none"/>
        </w:rPr>
        <w:fldChar w:fldCharType="separate"/>
      </w:r>
      <w:r>
        <w:rPr>
          <w:rFonts w:eastAsiaTheme="minorEastAsia"/>
          <w:color w:val="auto"/>
          <w:sz w:val="24"/>
          <w:highlight w:val="none"/>
        </w:rPr>
        <w:t>二、评分细则</w:t>
      </w:r>
      <w:r>
        <w:rPr>
          <w:color w:val="auto"/>
          <w:sz w:val="24"/>
          <w:highlight w:val="none"/>
        </w:rPr>
        <w:tab/>
      </w:r>
      <w:r>
        <w:rPr>
          <w:color w:val="auto"/>
          <w:sz w:val="24"/>
          <w:highlight w:val="none"/>
        </w:rPr>
        <w:fldChar w:fldCharType="begin"/>
      </w:r>
      <w:r>
        <w:rPr>
          <w:color w:val="auto"/>
          <w:sz w:val="24"/>
          <w:highlight w:val="none"/>
        </w:rPr>
        <w:instrText xml:space="preserve"> PAGEREF _Toc3005 </w:instrText>
      </w:r>
      <w:r>
        <w:rPr>
          <w:color w:val="auto"/>
          <w:sz w:val="24"/>
          <w:highlight w:val="none"/>
        </w:rPr>
        <w:fldChar w:fldCharType="separate"/>
      </w:r>
      <w:r>
        <w:rPr>
          <w:color w:val="auto"/>
          <w:sz w:val="24"/>
          <w:highlight w:val="none"/>
        </w:rPr>
        <w:t>31</w:t>
      </w:r>
      <w:r>
        <w:rPr>
          <w:color w:val="auto"/>
          <w:sz w:val="24"/>
          <w:highlight w:val="none"/>
        </w:rPr>
        <w:fldChar w:fldCharType="end"/>
      </w:r>
      <w:r>
        <w:rPr>
          <w:color w:val="auto"/>
          <w:sz w:val="24"/>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"_Toc23969" </w:instrText>
      </w:r>
      <w:r>
        <w:rPr>
          <w:color w:val="auto"/>
          <w:highlight w:val="none"/>
        </w:rPr>
        <w:fldChar w:fldCharType="separate"/>
      </w:r>
      <w:r>
        <w:rPr>
          <w:rFonts w:hint="eastAsia" w:eastAsiaTheme="minorEastAsia"/>
          <w:color w:val="auto"/>
          <w:sz w:val="24"/>
          <w:highlight w:val="none"/>
        </w:rPr>
        <w:t>第六章 附件</w:t>
      </w:r>
      <w:r>
        <w:rPr>
          <w:color w:val="auto"/>
          <w:sz w:val="24"/>
          <w:highlight w:val="none"/>
        </w:rPr>
        <w:tab/>
      </w:r>
      <w:r>
        <w:rPr>
          <w:color w:val="auto"/>
          <w:sz w:val="24"/>
          <w:highlight w:val="none"/>
        </w:rPr>
        <w:fldChar w:fldCharType="begin"/>
      </w:r>
      <w:r>
        <w:rPr>
          <w:color w:val="auto"/>
          <w:sz w:val="24"/>
          <w:highlight w:val="none"/>
        </w:rPr>
        <w:instrText xml:space="preserve"> PAGEREF _Toc23969 </w:instrText>
      </w:r>
      <w:r>
        <w:rPr>
          <w:color w:val="auto"/>
          <w:sz w:val="24"/>
          <w:highlight w:val="none"/>
        </w:rPr>
        <w:fldChar w:fldCharType="separate"/>
      </w:r>
      <w:r>
        <w:rPr>
          <w:color w:val="auto"/>
          <w:sz w:val="24"/>
          <w:highlight w:val="none"/>
        </w:rPr>
        <w:t>32</w:t>
      </w:r>
      <w:r>
        <w:rPr>
          <w:color w:val="auto"/>
          <w:sz w:val="24"/>
          <w:highlight w:val="none"/>
        </w:rPr>
        <w:fldChar w:fldCharType="end"/>
      </w:r>
      <w:r>
        <w:rPr>
          <w:color w:val="auto"/>
          <w:sz w:val="24"/>
          <w:highlight w:val="none"/>
        </w:rPr>
        <w:fldChar w:fldCharType="end"/>
      </w:r>
    </w:p>
    <w:p>
      <w:pPr>
        <w:rPr>
          <w:rFonts w:eastAsiaTheme="minorEastAsia"/>
          <w:color w:val="auto"/>
          <w:szCs w:val="28"/>
          <w:highlight w:val="none"/>
        </w:rPr>
      </w:pPr>
      <w:r>
        <w:rPr>
          <w:rFonts w:eastAsiaTheme="minorEastAsia"/>
          <w:color w:val="auto"/>
          <w:sz w:val="24"/>
          <w:highlight w:val="none"/>
        </w:rPr>
        <w:fldChar w:fldCharType="end"/>
      </w:r>
    </w:p>
    <w:p>
      <w:pPr>
        <w:jc w:val="left"/>
        <w:rPr>
          <w:rFonts w:eastAsiaTheme="minorEastAsia"/>
          <w:color w:val="auto"/>
          <w:szCs w:val="28"/>
          <w:highlight w:val="none"/>
        </w:rPr>
      </w:pPr>
    </w:p>
    <w:p>
      <w:pPr>
        <w:jc w:val="center"/>
        <w:rPr>
          <w:rFonts w:eastAsiaTheme="minorEastAsia"/>
          <w:color w:val="auto"/>
          <w:szCs w:val="28"/>
          <w:highlight w:val="none"/>
        </w:rPr>
      </w:pPr>
    </w:p>
    <w:p>
      <w:pPr>
        <w:rPr>
          <w:rFonts w:eastAsiaTheme="minorEastAsia"/>
          <w:color w:val="auto"/>
          <w:szCs w:val="28"/>
          <w:highlight w:val="none"/>
        </w:rPr>
      </w:pPr>
      <w:bookmarkStart w:id="12" w:name="_Toc24559"/>
      <w:bookmarkStart w:id="13" w:name="_Toc526874193"/>
      <w:bookmarkStart w:id="14" w:name="_Toc27762"/>
      <w:bookmarkStart w:id="15" w:name="_Toc20342"/>
      <w:bookmarkStart w:id="16" w:name="_Toc9092"/>
      <w:bookmarkStart w:id="17" w:name="_Toc14177"/>
      <w:bookmarkStart w:id="18" w:name="_Toc24752"/>
      <w:bookmarkStart w:id="19" w:name="_Toc461525294"/>
      <w:bookmarkStart w:id="20" w:name="_Toc12557"/>
      <w:bookmarkStart w:id="21" w:name="_Toc32719"/>
      <w:bookmarkStart w:id="22" w:name="_Toc14897"/>
      <w:bookmarkStart w:id="23" w:name="_Toc11052"/>
      <w:bookmarkStart w:id="24" w:name="_Toc24235"/>
      <w:bookmarkStart w:id="25" w:name="_Toc32556"/>
      <w:bookmarkStart w:id="26" w:name="_Toc30578"/>
      <w:r>
        <w:rPr>
          <w:rFonts w:eastAsiaTheme="minorEastAsia"/>
          <w:color w:val="auto"/>
          <w:szCs w:val="28"/>
          <w:highlight w:val="none"/>
        </w:rPr>
        <w:br w:type="page"/>
      </w:r>
    </w:p>
    <w:bookmarkEnd w:id="12"/>
    <w:bookmarkEnd w:id="13"/>
    <w:p>
      <w:pPr>
        <w:pStyle w:val="3"/>
        <w:spacing w:before="0" w:after="0" w:line="360" w:lineRule="auto"/>
        <w:rPr>
          <w:rFonts w:eastAsiaTheme="minorEastAsia"/>
          <w:color w:val="auto"/>
          <w:szCs w:val="28"/>
          <w:highlight w:val="none"/>
        </w:rPr>
      </w:pPr>
      <w:r>
        <w:rPr>
          <w:rFonts w:eastAsiaTheme="minorEastAsia"/>
          <w:color w:val="auto"/>
          <w:szCs w:val="28"/>
          <w:highlight w:val="none"/>
        </w:rPr>
        <w:t>第一章比选公告</w:t>
      </w:r>
    </w:p>
    <w:p>
      <w:pPr>
        <w:spacing w:line="400" w:lineRule="exact"/>
        <w:ind w:firstLine="480" w:firstLineChars="200"/>
        <w:rPr>
          <w:rFonts w:eastAsiaTheme="minorEastAsia"/>
          <w:color w:val="auto"/>
          <w:sz w:val="24"/>
          <w:highlight w:val="none"/>
        </w:rPr>
      </w:pPr>
      <w:r>
        <w:rPr>
          <w:rFonts w:eastAsiaTheme="minorEastAsia"/>
          <w:color w:val="auto"/>
          <w:sz w:val="24"/>
          <w:highlight w:val="none"/>
        </w:rPr>
        <w:t>现就</w:t>
      </w:r>
      <w:r>
        <w:rPr>
          <w:rFonts w:hint="eastAsia" w:eastAsiaTheme="minorEastAsia"/>
          <w:color w:val="auto"/>
          <w:sz w:val="24"/>
          <w:highlight w:val="none"/>
        </w:rPr>
        <w:t>桂林市轨道交通集团有限公司2021年第三批次招标代理机构比选招标代理机构</w:t>
      </w:r>
      <w:r>
        <w:rPr>
          <w:rFonts w:eastAsiaTheme="minorEastAsia"/>
          <w:color w:val="auto"/>
          <w:sz w:val="24"/>
          <w:highlight w:val="none"/>
        </w:rPr>
        <w:t>进行公开比选，欢迎符合条件的潜在比选申请人参与比选。</w:t>
      </w:r>
    </w:p>
    <w:p>
      <w:pPr>
        <w:pStyle w:val="2"/>
        <w:spacing w:before="0" w:after="0" w:line="400" w:lineRule="exact"/>
        <w:rPr>
          <w:rFonts w:ascii="Times New Roman" w:hAnsi="Times New Roman" w:eastAsiaTheme="minorEastAsia"/>
          <w:b/>
          <w:color w:val="auto"/>
          <w:sz w:val="24"/>
          <w:szCs w:val="24"/>
          <w:highlight w:val="none"/>
        </w:rPr>
      </w:pPr>
      <w:bookmarkStart w:id="27" w:name="_Toc510002133"/>
      <w:bookmarkStart w:id="28" w:name="_Toc16619"/>
      <w:bookmarkStart w:id="29" w:name="_Toc526874194"/>
      <w:bookmarkStart w:id="30" w:name="_Toc19339"/>
      <w:r>
        <w:rPr>
          <w:rFonts w:ascii="Times New Roman" w:hAnsi="Times New Roman" w:eastAsiaTheme="minorEastAsia"/>
          <w:b/>
          <w:color w:val="auto"/>
          <w:sz w:val="24"/>
          <w:szCs w:val="24"/>
          <w:highlight w:val="none"/>
        </w:rPr>
        <w:t>一、项目</w:t>
      </w:r>
      <w:bookmarkEnd w:id="27"/>
      <w:r>
        <w:rPr>
          <w:rFonts w:ascii="Times New Roman" w:hAnsi="Times New Roman" w:eastAsiaTheme="minorEastAsia"/>
          <w:b/>
          <w:color w:val="auto"/>
          <w:sz w:val="24"/>
          <w:szCs w:val="24"/>
          <w:highlight w:val="none"/>
        </w:rPr>
        <w:t>概况</w:t>
      </w:r>
      <w:bookmarkEnd w:id="28"/>
      <w:bookmarkEnd w:id="29"/>
      <w:bookmarkEnd w:id="30"/>
    </w:p>
    <w:p>
      <w:pPr>
        <w:spacing w:line="400" w:lineRule="exact"/>
        <w:ind w:firstLine="424" w:firstLineChars="177"/>
        <w:rPr>
          <w:rFonts w:eastAsiaTheme="minorEastAsia"/>
          <w:b/>
          <w:bCs/>
          <w:color w:val="auto"/>
          <w:kern w:val="0"/>
          <w:sz w:val="28"/>
          <w:szCs w:val="28"/>
          <w:highlight w:val="none"/>
        </w:rPr>
      </w:pPr>
      <w:r>
        <w:rPr>
          <w:rFonts w:eastAsiaTheme="minorEastAsia"/>
          <w:color w:val="auto"/>
          <w:sz w:val="24"/>
          <w:highlight w:val="none"/>
        </w:rPr>
        <w:t>1、项目名称：</w:t>
      </w:r>
      <w:r>
        <w:rPr>
          <w:rFonts w:hint="eastAsia" w:eastAsiaTheme="minorEastAsia"/>
          <w:color w:val="auto"/>
          <w:sz w:val="24"/>
          <w:highlight w:val="none"/>
        </w:rPr>
        <w:t>桂林市轨道交通集团有限公司2021年第三批次招标代理</w:t>
      </w:r>
      <w:r>
        <w:rPr>
          <w:rFonts w:hint="eastAsia" w:eastAsiaTheme="minorEastAsia"/>
          <w:color w:val="auto"/>
          <w:sz w:val="24"/>
          <w:highlight w:val="none"/>
          <w:lang w:val="en-US" w:eastAsia="zh-CN"/>
        </w:rPr>
        <w:t>机构</w:t>
      </w:r>
      <w:r>
        <w:rPr>
          <w:rFonts w:hint="eastAsia" w:eastAsiaTheme="minorEastAsia"/>
          <w:color w:val="auto"/>
          <w:sz w:val="24"/>
          <w:highlight w:val="none"/>
        </w:rPr>
        <w:t>比选</w:t>
      </w:r>
    </w:p>
    <w:p>
      <w:pPr>
        <w:spacing w:line="400" w:lineRule="exact"/>
        <w:ind w:firstLine="424" w:firstLineChars="177"/>
        <w:rPr>
          <w:rFonts w:eastAsiaTheme="minorEastAsia"/>
          <w:color w:val="auto"/>
          <w:sz w:val="24"/>
          <w:highlight w:val="none"/>
        </w:rPr>
      </w:pPr>
      <w:r>
        <w:rPr>
          <w:rFonts w:eastAsiaTheme="minorEastAsia"/>
          <w:color w:val="auto"/>
          <w:sz w:val="24"/>
          <w:highlight w:val="none"/>
        </w:rPr>
        <w:t>2、比选范围</w:t>
      </w:r>
      <w:r>
        <w:rPr>
          <w:rFonts w:hint="eastAsia" w:eastAsiaTheme="minorEastAsia"/>
          <w:color w:val="auto"/>
          <w:sz w:val="24"/>
          <w:highlight w:val="none"/>
        </w:rPr>
        <w:t>及工作内容</w:t>
      </w:r>
      <w:r>
        <w:rPr>
          <w:rFonts w:eastAsiaTheme="minorEastAsia"/>
          <w:color w:val="auto"/>
          <w:sz w:val="24"/>
          <w:highlight w:val="none"/>
        </w:rPr>
        <w:t>：详见</w:t>
      </w:r>
      <w:r>
        <w:rPr>
          <w:rFonts w:hint="eastAsia" w:eastAsiaTheme="minorEastAsia"/>
          <w:color w:val="auto"/>
          <w:sz w:val="24"/>
          <w:highlight w:val="none"/>
        </w:rPr>
        <w:t>本公告附</w:t>
      </w:r>
      <w:r>
        <w:rPr>
          <w:rFonts w:eastAsiaTheme="minorEastAsia"/>
          <w:color w:val="auto"/>
          <w:sz w:val="24"/>
          <w:highlight w:val="none"/>
        </w:rPr>
        <w:t>表。</w:t>
      </w:r>
    </w:p>
    <w:p>
      <w:pPr>
        <w:spacing w:line="400" w:lineRule="exact"/>
        <w:ind w:firstLine="424" w:firstLineChars="177"/>
        <w:rPr>
          <w:rFonts w:eastAsiaTheme="minorEastAsia"/>
          <w:color w:val="auto"/>
          <w:sz w:val="24"/>
          <w:highlight w:val="none"/>
        </w:rPr>
      </w:pPr>
      <w:r>
        <w:rPr>
          <w:rFonts w:eastAsiaTheme="minorEastAsia"/>
          <w:color w:val="auto"/>
          <w:sz w:val="24"/>
          <w:highlight w:val="none"/>
        </w:rPr>
        <w:t>3、项目概况：详见</w:t>
      </w:r>
      <w:r>
        <w:rPr>
          <w:rFonts w:hint="eastAsia" w:eastAsiaTheme="minorEastAsia"/>
          <w:color w:val="auto"/>
          <w:sz w:val="24"/>
          <w:highlight w:val="none"/>
        </w:rPr>
        <w:t>本公告附</w:t>
      </w:r>
      <w:r>
        <w:rPr>
          <w:rFonts w:eastAsiaTheme="minorEastAsia"/>
          <w:color w:val="auto"/>
          <w:sz w:val="24"/>
          <w:highlight w:val="none"/>
        </w:rPr>
        <w:t>表，下表中内容，与实际招标情况不一致时，以实际招标情况为准。</w:t>
      </w:r>
    </w:p>
    <w:p>
      <w:pPr>
        <w:pStyle w:val="2"/>
        <w:spacing w:before="0" w:after="0" w:line="400" w:lineRule="exact"/>
        <w:rPr>
          <w:rFonts w:ascii="Times New Roman" w:hAnsi="Times New Roman" w:eastAsiaTheme="minorEastAsia"/>
          <w:b/>
          <w:color w:val="auto"/>
          <w:sz w:val="24"/>
          <w:szCs w:val="24"/>
          <w:highlight w:val="none"/>
        </w:rPr>
      </w:pPr>
      <w:bookmarkStart w:id="31" w:name="_Toc23032"/>
      <w:bookmarkStart w:id="32" w:name="_Toc526874195"/>
      <w:bookmarkStart w:id="33" w:name="_Toc510002134"/>
      <w:bookmarkStart w:id="34" w:name="_Toc23710"/>
      <w:r>
        <w:rPr>
          <w:rFonts w:ascii="Times New Roman" w:hAnsi="Times New Roman" w:eastAsiaTheme="minorEastAsia"/>
          <w:b/>
          <w:color w:val="auto"/>
          <w:sz w:val="24"/>
          <w:szCs w:val="24"/>
          <w:highlight w:val="none"/>
        </w:rPr>
        <w:t>二、比选申请人资格要求</w:t>
      </w:r>
      <w:bookmarkEnd w:id="31"/>
      <w:bookmarkEnd w:id="32"/>
      <w:bookmarkEnd w:id="33"/>
      <w:bookmarkEnd w:id="34"/>
    </w:p>
    <w:p>
      <w:pPr>
        <w:spacing w:line="400" w:lineRule="exact"/>
        <w:ind w:firstLine="480" w:firstLineChars="200"/>
        <w:rPr>
          <w:rFonts w:eastAsiaTheme="minorEastAsia"/>
          <w:color w:val="auto"/>
          <w:sz w:val="24"/>
          <w:highlight w:val="none"/>
        </w:rPr>
      </w:pPr>
      <w:bookmarkStart w:id="35" w:name="_Hlk526871340"/>
      <w:r>
        <w:rPr>
          <w:rFonts w:eastAsiaTheme="minorEastAsia"/>
          <w:color w:val="auto"/>
          <w:sz w:val="24"/>
          <w:highlight w:val="none"/>
        </w:rPr>
        <w:t>1、参选人须为</w:t>
      </w:r>
      <w:r>
        <w:rPr>
          <w:rFonts w:hint="eastAsia" w:eastAsiaTheme="minorEastAsia"/>
          <w:color w:val="auto"/>
          <w:sz w:val="24"/>
          <w:highlight w:val="none"/>
        </w:rPr>
        <w:t>桂林市轨道交通集团有限公司代理库内成员单位，具体详见后附名单</w:t>
      </w:r>
      <w:r>
        <w:rPr>
          <w:rFonts w:eastAsiaTheme="minorEastAsia"/>
          <w:color w:val="auto"/>
          <w:sz w:val="24"/>
          <w:highlight w:val="none"/>
        </w:rPr>
        <w:t>。</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、本次比选不接受联合体参选。</w:t>
      </w:r>
    </w:p>
    <w:bookmarkEnd w:id="35"/>
    <w:p>
      <w:pPr>
        <w:pStyle w:val="2"/>
        <w:spacing w:before="0" w:after="0" w:line="400" w:lineRule="exact"/>
        <w:rPr>
          <w:rFonts w:ascii="Times New Roman" w:hAnsi="Times New Roman" w:eastAsiaTheme="minorEastAsia"/>
          <w:b/>
          <w:color w:val="auto"/>
          <w:sz w:val="24"/>
          <w:szCs w:val="24"/>
          <w:highlight w:val="none"/>
        </w:rPr>
      </w:pPr>
      <w:bookmarkStart w:id="36" w:name="_Toc510002135"/>
      <w:bookmarkStart w:id="37" w:name="_Toc3809"/>
      <w:bookmarkStart w:id="38" w:name="_Toc526874196"/>
      <w:bookmarkStart w:id="39" w:name="_Toc2147"/>
      <w:r>
        <w:rPr>
          <w:rFonts w:ascii="Times New Roman" w:hAnsi="Times New Roman" w:eastAsiaTheme="minorEastAsia"/>
          <w:b/>
          <w:color w:val="auto"/>
          <w:sz w:val="24"/>
          <w:szCs w:val="24"/>
          <w:highlight w:val="none"/>
        </w:rPr>
        <w:t>三、比选保证金</w:t>
      </w:r>
      <w:bookmarkEnd w:id="36"/>
      <w:bookmarkEnd w:id="37"/>
      <w:bookmarkEnd w:id="38"/>
      <w:bookmarkEnd w:id="39"/>
    </w:p>
    <w:p>
      <w:pPr>
        <w:spacing w:line="400" w:lineRule="exact"/>
        <w:ind w:firstLine="480" w:firstLineChars="200"/>
        <w:rPr>
          <w:rFonts w:eastAsiaTheme="minorEastAsia"/>
          <w:bCs/>
          <w:color w:val="auto"/>
          <w:sz w:val="24"/>
          <w:highlight w:val="none"/>
        </w:rPr>
      </w:pPr>
      <w:r>
        <w:rPr>
          <w:rFonts w:eastAsiaTheme="minorEastAsia"/>
          <w:color w:val="auto"/>
          <w:sz w:val="24"/>
          <w:highlight w:val="none"/>
        </w:rPr>
        <w:t>无。</w:t>
      </w:r>
    </w:p>
    <w:p>
      <w:pPr>
        <w:pStyle w:val="2"/>
        <w:spacing w:before="0" w:after="0" w:line="400" w:lineRule="exact"/>
        <w:rPr>
          <w:rFonts w:ascii="Times New Roman" w:hAnsi="Times New Roman" w:eastAsiaTheme="minorEastAsia"/>
          <w:b/>
          <w:color w:val="auto"/>
          <w:sz w:val="24"/>
          <w:szCs w:val="24"/>
          <w:highlight w:val="none"/>
        </w:rPr>
      </w:pPr>
      <w:bookmarkStart w:id="40" w:name="_Toc25619"/>
      <w:bookmarkStart w:id="41" w:name="_Toc526874197"/>
      <w:bookmarkStart w:id="42" w:name="_Toc1243"/>
      <w:bookmarkStart w:id="43" w:name="_Toc510002136"/>
      <w:r>
        <w:rPr>
          <w:rFonts w:ascii="Times New Roman" w:hAnsi="Times New Roman" w:eastAsiaTheme="minorEastAsia"/>
          <w:b/>
          <w:color w:val="auto"/>
          <w:sz w:val="24"/>
          <w:szCs w:val="24"/>
          <w:highlight w:val="none"/>
        </w:rPr>
        <w:t>四、比选文件的获取</w:t>
      </w:r>
      <w:bookmarkEnd w:id="40"/>
      <w:bookmarkEnd w:id="41"/>
      <w:bookmarkEnd w:id="42"/>
      <w:bookmarkEnd w:id="43"/>
    </w:p>
    <w:p>
      <w:pPr>
        <w:spacing w:line="400" w:lineRule="exact"/>
        <w:ind w:firstLine="480" w:firstLineChars="200"/>
        <w:rPr>
          <w:rFonts w:eastAsiaTheme="minorEastAsia"/>
          <w:color w:val="auto"/>
          <w:sz w:val="24"/>
          <w:highlight w:val="none"/>
        </w:rPr>
      </w:pPr>
      <w:r>
        <w:rPr>
          <w:rFonts w:eastAsiaTheme="minorEastAsia"/>
          <w:color w:val="auto"/>
          <w:sz w:val="24"/>
          <w:highlight w:val="none"/>
        </w:rPr>
        <w:t>本项目不发放纸质比选文件，比选申请人</w:t>
      </w:r>
      <w:r>
        <w:rPr>
          <w:rFonts w:hint="eastAsia" w:ascii="宋体" w:hAnsi="宋体" w:cs="宋体"/>
          <w:color w:val="000000"/>
          <w:kern w:val="0"/>
          <w:sz w:val="24"/>
          <w:szCs w:val="21"/>
          <w:highlight w:val="none"/>
          <w:shd w:val="clear" w:color="auto" w:fill="FFFFFF"/>
        </w:rPr>
        <w:t xml:space="preserve">潜在供应商自行到 </w:t>
      </w:r>
      <w:r>
        <w:rPr>
          <w:rFonts w:hint="eastAsia" w:ascii="宋体" w:hAnsi="宋体" w:cs="宋体"/>
          <w:b/>
          <w:bCs/>
          <w:color w:val="000000"/>
          <w:kern w:val="0"/>
          <w:sz w:val="24"/>
          <w:szCs w:val="21"/>
          <w:highlight w:val="none"/>
          <w:u w:val="single"/>
          <w:shd w:val="clear" w:color="auto" w:fill="FFFFFF"/>
        </w:rPr>
        <w:t xml:space="preserve">桂林市秀峰区翠竹路75号鼎富大厦B座14楼 </w:t>
      </w:r>
      <w:r>
        <w:rPr>
          <w:rFonts w:hint="eastAsia" w:ascii="宋体" w:hAnsi="宋体" w:cs="宋体"/>
          <w:color w:val="000000"/>
          <w:kern w:val="0"/>
          <w:sz w:val="24"/>
          <w:szCs w:val="21"/>
          <w:highlight w:val="none"/>
          <w:u w:val="single"/>
          <w:shd w:val="clear" w:color="auto" w:fill="FFFFFF"/>
        </w:rPr>
        <w:t>免费</w:t>
      </w:r>
      <w:r>
        <w:rPr>
          <w:rFonts w:hint="eastAsia" w:ascii="宋体" w:hAnsi="宋体"/>
          <w:color w:val="000000"/>
          <w:sz w:val="24"/>
          <w:szCs w:val="21"/>
          <w:highlight w:val="none"/>
        </w:rPr>
        <w:t>领取，或通过</w:t>
      </w:r>
      <w:r>
        <w:rPr>
          <w:rFonts w:hint="eastAsia" w:ascii="宋体" w:hAnsi="宋体"/>
          <w:b/>
          <w:color w:val="000000"/>
          <w:sz w:val="24"/>
          <w:szCs w:val="21"/>
          <w:highlight w:val="none"/>
        </w:rPr>
        <w:t>电子邮件方式</w:t>
      </w:r>
      <w:r>
        <w:rPr>
          <w:rFonts w:hint="eastAsia" w:ascii="宋体" w:hAnsi="宋体"/>
          <w:color w:val="000000"/>
          <w:sz w:val="24"/>
          <w:szCs w:val="21"/>
          <w:highlight w:val="none"/>
        </w:rPr>
        <w:t>进行发送文件</w:t>
      </w:r>
      <w:r>
        <w:rPr>
          <w:rFonts w:hint="eastAsia" w:ascii="宋体" w:hAnsi="宋体"/>
          <w:color w:val="000000"/>
          <w:sz w:val="24"/>
          <w:szCs w:val="21"/>
          <w:highlight w:val="none"/>
          <w:lang w:eastAsia="zh-CN"/>
        </w:rPr>
        <w:t>，</w:t>
      </w:r>
      <w:r>
        <w:rPr>
          <w:rFonts w:hint="eastAsia" w:ascii="宋体" w:hAnsi="宋体"/>
          <w:color w:val="000000"/>
          <w:sz w:val="24"/>
          <w:szCs w:val="21"/>
          <w:highlight w:val="none"/>
          <w:lang w:val="en-US" w:eastAsia="zh-CN"/>
        </w:rPr>
        <w:t>或自行在网上下载</w:t>
      </w:r>
      <w:r>
        <w:rPr>
          <w:rFonts w:eastAsiaTheme="minorEastAsia"/>
          <w:color w:val="auto"/>
          <w:sz w:val="24"/>
          <w:highlight w:val="none"/>
        </w:rPr>
        <w:t>。</w:t>
      </w:r>
    </w:p>
    <w:p>
      <w:pPr>
        <w:pStyle w:val="2"/>
        <w:spacing w:before="0" w:after="0" w:line="400" w:lineRule="exact"/>
        <w:rPr>
          <w:rFonts w:ascii="Times New Roman" w:hAnsi="Times New Roman" w:eastAsiaTheme="minorEastAsia"/>
          <w:b/>
          <w:color w:val="auto"/>
          <w:sz w:val="24"/>
          <w:szCs w:val="24"/>
          <w:highlight w:val="none"/>
        </w:rPr>
      </w:pPr>
      <w:bookmarkStart w:id="44" w:name="_Toc23288"/>
      <w:bookmarkStart w:id="45" w:name="_Toc2877"/>
      <w:bookmarkStart w:id="46" w:name="_Toc510002137"/>
      <w:bookmarkStart w:id="47" w:name="_Toc526874198"/>
      <w:r>
        <w:rPr>
          <w:rFonts w:ascii="Times New Roman" w:hAnsi="Times New Roman" w:eastAsiaTheme="minorEastAsia"/>
          <w:b/>
          <w:color w:val="auto"/>
          <w:sz w:val="24"/>
          <w:szCs w:val="24"/>
          <w:highlight w:val="none"/>
        </w:rPr>
        <w:t>五、比选申请文件的递交</w:t>
      </w:r>
      <w:bookmarkEnd w:id="44"/>
      <w:bookmarkEnd w:id="45"/>
      <w:bookmarkEnd w:id="46"/>
      <w:bookmarkEnd w:id="47"/>
    </w:p>
    <w:p>
      <w:pPr>
        <w:spacing w:line="400" w:lineRule="exact"/>
        <w:ind w:firstLine="480" w:firstLineChars="200"/>
        <w:rPr>
          <w:rFonts w:eastAsiaTheme="minorEastAsia"/>
          <w:color w:val="auto"/>
          <w:sz w:val="24"/>
          <w:highlight w:val="none"/>
        </w:rPr>
      </w:pPr>
      <w:r>
        <w:rPr>
          <w:rFonts w:eastAsiaTheme="minorEastAsia"/>
          <w:color w:val="auto"/>
          <w:sz w:val="24"/>
          <w:highlight w:val="none"/>
        </w:rPr>
        <w:t>1、比选申请文件递交截止时间：</w:t>
      </w:r>
      <w:r>
        <w:rPr>
          <w:rFonts w:hint="eastAsia" w:eastAsiaTheme="minorEastAsia"/>
          <w:color w:val="auto"/>
          <w:sz w:val="24"/>
          <w:highlight w:val="none"/>
        </w:rPr>
        <w:t>2021年</w:t>
      </w:r>
      <w:r>
        <w:rPr>
          <w:rFonts w:hint="eastAsia" w:eastAsiaTheme="minorEastAsia"/>
          <w:color w:val="auto"/>
          <w:sz w:val="24"/>
          <w:highlight w:val="none"/>
          <w:lang w:val="en-US" w:eastAsia="zh-CN"/>
        </w:rPr>
        <w:t>6</w:t>
      </w:r>
      <w:r>
        <w:rPr>
          <w:rFonts w:hint="eastAsia" w:eastAsiaTheme="minorEastAsia"/>
          <w:color w:val="auto"/>
          <w:sz w:val="24"/>
          <w:highlight w:val="none"/>
        </w:rPr>
        <w:t>月</w:t>
      </w:r>
      <w:r>
        <w:rPr>
          <w:rFonts w:hint="eastAsia" w:eastAsiaTheme="minorEastAsia"/>
          <w:color w:val="auto"/>
          <w:sz w:val="24"/>
          <w:highlight w:val="none"/>
          <w:lang w:val="en-US" w:eastAsia="zh-CN"/>
        </w:rPr>
        <w:t>8</w:t>
      </w:r>
      <w:r>
        <w:rPr>
          <w:rFonts w:hint="eastAsia" w:eastAsiaTheme="minorEastAsia"/>
          <w:color w:val="auto"/>
          <w:sz w:val="24"/>
          <w:highlight w:val="none"/>
        </w:rPr>
        <w:t>日</w:t>
      </w:r>
      <w:r>
        <w:rPr>
          <w:rFonts w:hint="eastAsia" w:eastAsiaTheme="minorEastAsia"/>
          <w:color w:val="auto"/>
          <w:sz w:val="24"/>
          <w:highlight w:val="none"/>
          <w:lang w:val="en-US" w:eastAsia="zh-CN"/>
        </w:rPr>
        <w:t>10</w:t>
      </w:r>
      <w:r>
        <w:rPr>
          <w:rFonts w:hint="eastAsia" w:eastAsiaTheme="minorEastAsia"/>
          <w:color w:val="auto"/>
          <w:sz w:val="24"/>
          <w:highlight w:val="none"/>
        </w:rPr>
        <w:t>时30分</w:t>
      </w:r>
    </w:p>
    <w:p>
      <w:pPr>
        <w:spacing w:line="400" w:lineRule="exact"/>
        <w:ind w:firstLine="480" w:firstLineChars="200"/>
        <w:rPr>
          <w:rFonts w:eastAsiaTheme="minorEastAsia"/>
          <w:color w:val="auto"/>
          <w:sz w:val="24"/>
          <w:highlight w:val="none"/>
        </w:rPr>
      </w:pPr>
      <w:r>
        <w:rPr>
          <w:rFonts w:eastAsiaTheme="minorEastAsia"/>
          <w:color w:val="auto"/>
          <w:sz w:val="24"/>
          <w:highlight w:val="none"/>
        </w:rPr>
        <w:t>2、比选申请文件递交地点：</w:t>
      </w:r>
      <w:r>
        <w:rPr>
          <w:rFonts w:hint="eastAsia" w:eastAsiaTheme="minorEastAsia"/>
          <w:color w:val="auto"/>
          <w:sz w:val="24"/>
          <w:highlight w:val="none"/>
        </w:rPr>
        <w:t>桂林市秀峰区75号鼎富大厦B座14楼</w:t>
      </w:r>
      <w:r>
        <w:rPr>
          <w:rFonts w:hint="eastAsia" w:eastAsiaTheme="minorEastAsia"/>
          <w:color w:val="auto"/>
          <w:sz w:val="24"/>
          <w:highlight w:val="none"/>
          <w:lang w:eastAsia="zh-CN"/>
        </w:rPr>
        <w:t>，</w:t>
      </w:r>
      <w:r>
        <w:rPr>
          <w:rFonts w:hint="eastAsia" w:eastAsiaTheme="minorEastAsia"/>
          <w:color w:val="auto"/>
          <w:sz w:val="24"/>
          <w:highlight w:val="none"/>
          <w:lang w:val="en-US" w:eastAsia="zh-CN"/>
        </w:rPr>
        <w:t>或将盖章版扫描件发送至公司邮箱</w:t>
      </w:r>
      <w:r>
        <w:rPr>
          <w:rFonts w:hint="eastAsia" w:eastAsiaTheme="minorEastAsia"/>
          <w:color w:val="auto"/>
          <w:sz w:val="24"/>
          <w:highlight w:val="none"/>
          <w:u w:val="single"/>
          <w:lang w:val="en-US" w:eastAsia="zh-CN"/>
        </w:rPr>
        <w:t>glgdjtjt@163.com</w:t>
      </w:r>
      <w:r>
        <w:rPr>
          <w:rFonts w:hint="eastAsia" w:eastAsiaTheme="minorEastAsia"/>
          <w:color w:val="auto"/>
          <w:sz w:val="24"/>
          <w:highlight w:val="none"/>
          <w:lang w:val="en-US" w:eastAsia="zh-CN"/>
        </w:rPr>
        <w:t>。</w:t>
      </w:r>
    </w:p>
    <w:p>
      <w:pPr>
        <w:pStyle w:val="2"/>
        <w:spacing w:before="0" w:after="0" w:line="400" w:lineRule="exact"/>
        <w:rPr>
          <w:rFonts w:ascii="Times New Roman" w:hAnsi="Times New Roman" w:eastAsiaTheme="minorEastAsia"/>
          <w:b/>
          <w:color w:val="auto"/>
          <w:sz w:val="24"/>
          <w:szCs w:val="24"/>
          <w:highlight w:val="none"/>
        </w:rPr>
      </w:pPr>
      <w:bookmarkStart w:id="48" w:name="_Toc8562"/>
      <w:bookmarkStart w:id="49" w:name="_Toc526874199"/>
      <w:bookmarkStart w:id="50" w:name="_Toc3587"/>
      <w:bookmarkStart w:id="51" w:name="_Toc510002138"/>
      <w:r>
        <w:rPr>
          <w:rFonts w:ascii="Times New Roman" w:hAnsi="Times New Roman" w:eastAsiaTheme="minorEastAsia"/>
          <w:b/>
          <w:color w:val="auto"/>
          <w:sz w:val="24"/>
          <w:szCs w:val="24"/>
          <w:highlight w:val="none"/>
        </w:rPr>
        <w:t>六、比选人联系方式</w:t>
      </w:r>
      <w:bookmarkEnd w:id="48"/>
      <w:bookmarkEnd w:id="49"/>
      <w:bookmarkEnd w:id="50"/>
      <w:bookmarkEnd w:id="51"/>
    </w:p>
    <w:p>
      <w:pPr>
        <w:spacing w:line="400" w:lineRule="exact"/>
        <w:ind w:firstLine="480" w:firstLineChars="200"/>
        <w:rPr>
          <w:rFonts w:eastAsiaTheme="minorEastAsia"/>
          <w:color w:val="auto"/>
          <w:sz w:val="24"/>
          <w:highlight w:val="none"/>
        </w:rPr>
      </w:pPr>
      <w:r>
        <w:rPr>
          <w:rFonts w:eastAsiaTheme="minorEastAsia"/>
          <w:color w:val="auto"/>
          <w:sz w:val="24"/>
          <w:highlight w:val="none"/>
        </w:rPr>
        <w:t>比选人：</w:t>
      </w:r>
      <w:r>
        <w:rPr>
          <w:rFonts w:hint="eastAsia" w:eastAsiaTheme="minorEastAsia"/>
          <w:color w:val="auto"/>
          <w:sz w:val="24"/>
          <w:highlight w:val="none"/>
        </w:rPr>
        <w:t xml:space="preserve"> 桂林市轨道交通集团有限公司</w:t>
      </w:r>
    </w:p>
    <w:p>
      <w:pPr>
        <w:spacing w:line="400" w:lineRule="exact"/>
        <w:ind w:firstLine="480" w:firstLineChars="200"/>
        <w:rPr>
          <w:rFonts w:eastAsiaTheme="minorEastAsia"/>
          <w:color w:val="auto"/>
          <w:sz w:val="24"/>
          <w:highlight w:val="none"/>
        </w:rPr>
      </w:pPr>
      <w:bookmarkStart w:id="52" w:name="_Toc31724"/>
      <w:bookmarkStart w:id="53" w:name="_Toc19697"/>
      <w:r>
        <w:rPr>
          <w:rFonts w:hint="eastAsia" w:eastAsiaTheme="minorEastAsia"/>
          <w:color w:val="auto"/>
          <w:sz w:val="24"/>
          <w:highlight w:val="none"/>
        </w:rPr>
        <w:t xml:space="preserve">地    址： 桂林市秀峰区75号鼎富大厦B座14楼                     </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联 系 人：                     </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电    话：            </w:t>
      </w:r>
    </w:p>
    <w:p>
      <w:pPr>
        <w:pStyle w:val="2"/>
        <w:spacing w:before="0" w:after="0" w:line="400" w:lineRule="exact"/>
        <w:rPr>
          <w:rFonts w:ascii="Times New Roman" w:hAnsi="Times New Roman" w:eastAsiaTheme="minorEastAsia"/>
          <w:b/>
          <w:color w:val="auto"/>
          <w:sz w:val="24"/>
          <w:szCs w:val="24"/>
          <w:highlight w:val="none"/>
        </w:rPr>
      </w:pPr>
      <w:r>
        <w:rPr>
          <w:rFonts w:hint="eastAsia" w:ascii="Times New Roman" w:hAnsi="Times New Roman" w:eastAsiaTheme="minorEastAsia"/>
          <w:b/>
          <w:color w:val="auto"/>
          <w:sz w:val="24"/>
          <w:szCs w:val="24"/>
          <w:highlight w:val="none"/>
        </w:rPr>
        <w:t>七、公告附表</w:t>
      </w:r>
      <w:bookmarkEnd w:id="52"/>
      <w:bookmarkEnd w:id="53"/>
    </w:p>
    <w:p>
      <w:pPr>
        <w:spacing w:line="400" w:lineRule="exact"/>
        <w:ind w:firstLine="480" w:firstLineChars="200"/>
        <w:jc w:val="left"/>
        <w:rPr>
          <w:color w:val="auto"/>
          <w:highlight w:val="none"/>
        </w:rPr>
      </w:pPr>
      <w:r>
        <w:rPr>
          <w:rFonts w:hint="eastAsia" w:eastAsiaTheme="minorEastAsia"/>
          <w:color w:val="auto"/>
          <w:sz w:val="24"/>
          <w:highlight w:val="none"/>
        </w:rPr>
        <w:t>《比选范围、工作内容和类似项目一览表》</w:t>
      </w:r>
    </w:p>
    <w:p>
      <w:pPr>
        <w:spacing w:line="400" w:lineRule="exact"/>
        <w:ind w:firstLine="480" w:firstLineChars="200"/>
        <w:jc w:val="right"/>
        <w:rPr>
          <w:rFonts w:eastAsiaTheme="minorEastAsia"/>
          <w:color w:val="auto"/>
          <w:sz w:val="24"/>
          <w:highlight w:val="none"/>
        </w:rPr>
      </w:pPr>
      <w:r>
        <w:rPr>
          <w:rFonts w:hint="eastAsia" w:eastAsiaTheme="minorEastAsia"/>
          <w:color w:val="auto"/>
          <w:sz w:val="24"/>
          <w:highlight w:val="none"/>
        </w:rPr>
        <w:t>比选人：桂林市轨道交通集团有限公司</w:t>
      </w:r>
    </w:p>
    <w:p>
      <w:pPr>
        <w:spacing w:line="400" w:lineRule="exact"/>
        <w:ind w:firstLine="480" w:firstLineChars="200"/>
        <w:jc w:val="right"/>
        <w:rPr>
          <w:rFonts w:hint="eastAsia" w:eastAsiaTheme="minorEastAsia"/>
          <w:color w:val="auto"/>
          <w:sz w:val="24"/>
          <w:highlight w:val="none"/>
        </w:rPr>
      </w:pPr>
      <w:r>
        <w:rPr>
          <w:rFonts w:hint="eastAsia" w:eastAsiaTheme="minorEastAsia"/>
          <w:color w:val="auto"/>
          <w:sz w:val="24"/>
          <w:highlight w:val="none"/>
        </w:rPr>
        <w:t>2021年</w:t>
      </w:r>
      <w:r>
        <w:rPr>
          <w:rFonts w:hint="eastAsia" w:eastAsiaTheme="minorEastAsia"/>
          <w:color w:val="auto"/>
          <w:sz w:val="24"/>
          <w:highlight w:val="none"/>
          <w:lang w:val="en-US" w:eastAsia="zh-CN"/>
        </w:rPr>
        <w:t>6</w:t>
      </w:r>
      <w:r>
        <w:rPr>
          <w:rFonts w:hint="eastAsia" w:eastAsiaTheme="minorEastAsia"/>
          <w:color w:val="auto"/>
          <w:sz w:val="24"/>
          <w:highlight w:val="none"/>
        </w:rPr>
        <w:t>月</w:t>
      </w:r>
      <w:r>
        <w:rPr>
          <w:rFonts w:eastAsiaTheme="minorEastAsia"/>
          <w:color w:val="auto"/>
          <w:sz w:val="24"/>
          <w:highlight w:val="none"/>
        </w:rPr>
        <w:t xml:space="preserve"> </w:t>
      </w:r>
      <w:r>
        <w:rPr>
          <w:rFonts w:hint="eastAsia" w:eastAsiaTheme="minorEastAsia"/>
          <w:color w:val="auto"/>
          <w:sz w:val="24"/>
          <w:highlight w:val="none"/>
          <w:lang w:val="en-US" w:eastAsia="zh-CN"/>
        </w:rPr>
        <w:t>3</w:t>
      </w:r>
      <w:bookmarkStart w:id="325" w:name="_GoBack"/>
      <w:bookmarkEnd w:id="325"/>
      <w:r>
        <w:rPr>
          <w:rFonts w:hint="eastAsia" w:eastAsiaTheme="minorEastAsia"/>
          <w:color w:val="auto"/>
          <w:sz w:val="24"/>
          <w:highlight w:val="none"/>
        </w:rPr>
        <w:t xml:space="preserve">日 </w:t>
      </w:r>
    </w:p>
    <w:p>
      <w:pPr>
        <w:rPr>
          <w:rFonts w:hint="eastAsia" w:eastAsiaTheme="minorEastAsia"/>
          <w:color w:val="auto"/>
          <w:sz w:val="24"/>
          <w:highlight w:val="none"/>
        </w:rPr>
      </w:pPr>
      <w:r>
        <w:rPr>
          <w:rFonts w:hint="eastAsia" w:eastAsiaTheme="minorEastAsia"/>
          <w:color w:val="auto"/>
          <w:sz w:val="24"/>
          <w:highlight w:val="none"/>
        </w:rPr>
        <w:br w:type="page"/>
      </w:r>
    </w:p>
    <w:tbl>
      <w:tblPr>
        <w:tblStyle w:val="26"/>
        <w:tblW w:w="9875" w:type="dxa"/>
        <w:jc w:val="center"/>
        <w:shd w:val="clear" w:color="auto" w:fill="auto"/>
        <w:tblLayout w:type="fixed"/>
        <w:tblCellMar>
          <w:top w:w="0" w:type="dxa"/>
          <w:left w:w="108" w:type="dxa"/>
          <w:bottom w:w="0" w:type="dxa"/>
          <w:right w:w="108" w:type="dxa"/>
        </w:tblCellMar>
      </w:tblPr>
      <w:tblGrid>
        <w:gridCol w:w="413"/>
        <w:gridCol w:w="948"/>
        <w:gridCol w:w="2892"/>
        <w:gridCol w:w="1044"/>
        <w:gridCol w:w="1044"/>
        <w:gridCol w:w="984"/>
        <w:gridCol w:w="1071"/>
        <w:gridCol w:w="1479"/>
      </w:tblGrid>
      <w:tr>
        <w:tblPrEx>
          <w:shd w:val="clear" w:color="auto" w:fill="auto"/>
          <w:tblCellMar>
            <w:top w:w="0" w:type="dxa"/>
            <w:left w:w="108" w:type="dxa"/>
            <w:bottom w:w="0" w:type="dxa"/>
            <w:right w:w="108" w:type="dxa"/>
          </w:tblCellMar>
        </w:tblPrEx>
        <w:trPr>
          <w:trHeight w:val="866" w:hRule="atLeas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u w:val="none"/>
                <w:lang w:val="en-US" w:eastAsia="zh-CN" w:bidi="ar"/>
              </w:rPr>
              <w:t>比选范围及工作内容和业绩要求一览表</w:t>
            </w:r>
          </w:p>
        </w:tc>
      </w:tr>
      <w:tr>
        <w:tblPrEx>
          <w:shd w:val="clear" w:color="auto" w:fill="auto"/>
          <w:tblCellMar>
            <w:top w:w="0" w:type="dxa"/>
            <w:left w:w="108" w:type="dxa"/>
            <w:bottom w:w="0" w:type="dxa"/>
            <w:right w:w="108" w:type="dxa"/>
          </w:tblCellMar>
        </w:tblPrEx>
        <w:trPr>
          <w:trHeight w:val="622"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序号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标包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工作内容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项目金额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计费标准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类似项目说明</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1067" w:hRule="atLeast"/>
          <w:jc w:val="center"/>
        </w:trPr>
        <w:tc>
          <w:tcPr>
            <w:tcW w:w="41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948" w:type="dxa"/>
            <w:tcBorders>
              <w:top w:val="nil"/>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01</w:t>
            </w:r>
            <w:r>
              <w:rPr>
                <w:rStyle w:val="57"/>
                <w:lang w:val="en-US" w:eastAsia="zh-CN" w:bidi="ar"/>
              </w:rPr>
              <w:t>标包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轨道置业·航空小镇项目幕墙设计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服务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1067" w:hRule="atLeast"/>
          <w:jc w:val="center"/>
        </w:trPr>
        <w:tc>
          <w:tcPr>
            <w:tcW w:w="41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4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02</w:t>
            </w:r>
            <w:r>
              <w:rPr>
                <w:rStyle w:val="57"/>
                <w:lang w:val="en-US" w:eastAsia="zh-CN" w:bidi="ar"/>
              </w:rPr>
              <w:t>标包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国道321阳朔至桂林段雁山收费站ETC改造工程货物采购及安装</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800.00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货物</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含招标控制价审核，需具有工程造价甲级资质</w:t>
            </w:r>
          </w:p>
        </w:tc>
      </w:tr>
      <w:tr>
        <w:tblPrEx>
          <w:shd w:val="clear" w:color="auto" w:fill="auto"/>
          <w:tblCellMar>
            <w:top w:w="0" w:type="dxa"/>
            <w:left w:w="108" w:type="dxa"/>
            <w:bottom w:w="0" w:type="dxa"/>
            <w:right w:w="108" w:type="dxa"/>
          </w:tblCellMar>
        </w:tblPrEx>
        <w:trPr>
          <w:trHeight w:val="1067" w:hRule="atLeast"/>
          <w:jc w:val="center"/>
        </w:trPr>
        <w:tc>
          <w:tcPr>
            <w:tcW w:w="4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948"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03标包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鼎亨桃花江度假酒店项目建设输电线路迁改工程施工总承包</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u w:val="none"/>
                <w:lang w:val="en-US" w:eastAsia="zh-CN" w:bidi="ar"/>
              </w:rPr>
              <w:t>3000</w:t>
            </w:r>
            <w:r>
              <w:rPr>
                <w:rFonts w:hint="eastAsia" w:ascii="宋体" w:hAnsi="宋体" w:cs="宋体"/>
                <w:i w:val="0"/>
                <w:iCs w:val="0"/>
                <w:color w:val="000000"/>
                <w:kern w:val="0"/>
                <w:sz w:val="20"/>
                <w:szCs w:val="20"/>
                <w:u w:val="none"/>
                <w:lang w:val="en-US" w:eastAsia="zh-CN" w:bidi="ar"/>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工程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1067" w:hRule="atLeast"/>
          <w:jc w:val="center"/>
        </w:trPr>
        <w:tc>
          <w:tcPr>
            <w:tcW w:w="4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8"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鼎亨桃花江度假酒店项目建设输电线路迁改工程</w:t>
            </w:r>
            <w:r>
              <w:rPr>
                <w:rFonts w:hint="eastAsia" w:ascii="宋体" w:hAnsi="宋体" w:cs="宋体"/>
                <w:i w:val="0"/>
                <w:iCs w:val="0"/>
                <w:color w:val="000000"/>
                <w:kern w:val="0"/>
                <w:sz w:val="20"/>
                <w:szCs w:val="20"/>
                <w:u w:val="none"/>
                <w:lang w:val="en-US" w:eastAsia="zh-CN" w:bidi="ar"/>
              </w:rPr>
              <w:t>监理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招标代理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服务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1845" w:hRule="atLeast"/>
          <w:jc w:val="center"/>
        </w:trPr>
        <w:tc>
          <w:tcPr>
            <w:tcW w:w="9875"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注：1、考虑到部分项目可能会出现合并或者拆分以及兼投不兼中的情形，故将存在上述可能的项目合到一个标包中，以便后续招标代理合同执行。</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    2、招标控制价编制工作不一定需要开展，请在实际工作过程中注意明确是否需要，并按照项目实际需要开展相关工作；</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    3、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选择所投标包。</w:t>
            </w:r>
          </w:p>
        </w:tc>
      </w:tr>
    </w:tbl>
    <w:p>
      <w:pPr>
        <w:pStyle w:val="2"/>
        <w:rPr>
          <w:highlight w:val="none"/>
        </w:rPr>
      </w:pPr>
    </w:p>
    <w:p>
      <w:pPr>
        <w:widowControl/>
        <w:jc w:val="right"/>
        <w:rPr>
          <w:rFonts w:eastAsiaTheme="minorEastAsia"/>
          <w:b/>
          <w:color w:val="auto"/>
          <w:kern w:val="44"/>
          <w:sz w:val="28"/>
          <w:szCs w:val="28"/>
          <w:highlight w:val="none"/>
        </w:rPr>
      </w:pPr>
    </w:p>
    <w:p>
      <w:pPr>
        <w:pStyle w:val="3"/>
        <w:spacing w:before="0" w:after="0" w:line="360" w:lineRule="auto"/>
        <w:rPr>
          <w:rFonts w:eastAsiaTheme="minorEastAsia"/>
          <w:color w:val="auto"/>
          <w:szCs w:val="28"/>
          <w:highlight w:val="none"/>
        </w:rPr>
      </w:pPr>
      <w:bookmarkStart w:id="54" w:name="_Toc24426"/>
      <w:bookmarkStart w:id="55" w:name="_Toc5281"/>
      <w:r>
        <w:rPr>
          <w:rFonts w:eastAsiaTheme="minorEastAsia"/>
          <w:color w:val="auto"/>
          <w:szCs w:val="28"/>
          <w:highlight w:val="none"/>
        </w:rPr>
        <w:t>第二章比选须知</w:t>
      </w:r>
      <w:bookmarkEnd w:id="14"/>
      <w:bookmarkEnd w:id="15"/>
      <w:bookmarkEnd w:id="16"/>
      <w:bookmarkEnd w:id="17"/>
      <w:bookmarkEnd w:id="18"/>
      <w:bookmarkEnd w:id="19"/>
      <w:bookmarkEnd w:id="20"/>
      <w:bookmarkEnd w:id="21"/>
      <w:bookmarkEnd w:id="22"/>
      <w:bookmarkEnd w:id="23"/>
      <w:bookmarkEnd w:id="24"/>
      <w:bookmarkEnd w:id="25"/>
      <w:bookmarkEnd w:id="26"/>
      <w:bookmarkEnd w:id="54"/>
      <w:bookmarkEnd w:id="55"/>
    </w:p>
    <w:p>
      <w:pPr>
        <w:pStyle w:val="2"/>
        <w:spacing w:before="0" w:after="0" w:line="360" w:lineRule="auto"/>
        <w:jc w:val="center"/>
        <w:rPr>
          <w:rFonts w:ascii="Times New Roman" w:hAnsi="Times New Roman" w:eastAsiaTheme="minorEastAsia"/>
          <w:b/>
          <w:color w:val="auto"/>
          <w:sz w:val="24"/>
          <w:szCs w:val="24"/>
          <w:highlight w:val="none"/>
        </w:rPr>
      </w:pPr>
      <w:bookmarkStart w:id="56" w:name="_Toc14510"/>
      <w:bookmarkStart w:id="57" w:name="_Toc5060"/>
      <w:bookmarkStart w:id="58" w:name="_Toc31166"/>
      <w:bookmarkStart w:id="59" w:name="_Toc29670"/>
      <w:bookmarkStart w:id="60" w:name="_Toc11337"/>
      <w:bookmarkStart w:id="61" w:name="_Toc461525295"/>
      <w:bookmarkStart w:id="62" w:name="_Toc2242"/>
      <w:bookmarkStart w:id="63" w:name="_Toc11329"/>
      <w:bookmarkStart w:id="64" w:name="_Toc2162"/>
      <w:bookmarkStart w:id="65" w:name="_Toc21327"/>
      <w:bookmarkStart w:id="66" w:name="_Toc18263"/>
      <w:bookmarkStart w:id="67" w:name="_Toc24239"/>
      <w:bookmarkStart w:id="68" w:name="_Toc17254"/>
      <w:bookmarkStart w:id="69" w:name="_Toc17641"/>
      <w:bookmarkStart w:id="70" w:name="_Toc32591"/>
      <w:r>
        <w:rPr>
          <w:rFonts w:ascii="Times New Roman" w:hAnsi="Times New Roman" w:eastAsiaTheme="minorEastAsia"/>
          <w:b/>
          <w:color w:val="auto"/>
          <w:sz w:val="24"/>
          <w:szCs w:val="24"/>
          <w:highlight w:val="none"/>
        </w:rPr>
        <w:t>前附表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bl>
      <w:tblPr>
        <w:tblStyle w:val="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32"/>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序号</w:t>
            </w:r>
          </w:p>
        </w:tc>
        <w:tc>
          <w:tcPr>
            <w:tcW w:w="1732" w:type="dxa"/>
            <w:vAlign w:val="center"/>
          </w:tcPr>
          <w:p>
            <w:pPr>
              <w:jc w:val="center"/>
              <w:rPr>
                <w:rFonts w:eastAsiaTheme="minorEastAsia"/>
                <w:color w:val="auto"/>
                <w:sz w:val="24"/>
                <w:highlight w:val="none"/>
              </w:rPr>
            </w:pPr>
            <w:r>
              <w:rPr>
                <w:rFonts w:eastAsiaTheme="minorEastAsia"/>
                <w:color w:val="auto"/>
                <w:sz w:val="24"/>
                <w:highlight w:val="none"/>
              </w:rPr>
              <w:t>内容标题</w:t>
            </w:r>
          </w:p>
        </w:tc>
        <w:tc>
          <w:tcPr>
            <w:tcW w:w="6762" w:type="dxa"/>
            <w:vAlign w:val="center"/>
          </w:tcPr>
          <w:p>
            <w:pPr>
              <w:jc w:val="center"/>
              <w:rPr>
                <w:rFonts w:eastAsiaTheme="minorEastAsia"/>
                <w:color w:val="auto"/>
                <w:sz w:val="24"/>
                <w:highlight w:val="none"/>
              </w:rPr>
            </w:pPr>
            <w:r>
              <w:rPr>
                <w:rFonts w:eastAsiaTheme="minorEastAsia"/>
                <w:color w:val="auto"/>
                <w:sz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项目名称</w:t>
            </w:r>
          </w:p>
        </w:tc>
        <w:tc>
          <w:tcPr>
            <w:tcW w:w="6762" w:type="dxa"/>
            <w:vAlign w:val="center"/>
          </w:tcPr>
          <w:p>
            <w:pPr>
              <w:jc w:val="left"/>
              <w:rPr>
                <w:rFonts w:eastAsiaTheme="minorEastAsia"/>
                <w:color w:val="auto"/>
                <w:sz w:val="24"/>
                <w:highlight w:val="none"/>
              </w:rPr>
            </w:pPr>
            <w:r>
              <w:rPr>
                <w:rFonts w:hint="eastAsia" w:eastAsiaTheme="minorEastAsia"/>
                <w:color w:val="auto"/>
                <w:sz w:val="24"/>
                <w:highlight w:val="none"/>
              </w:rPr>
              <w:t>桂林市轨道交通集团有限公司2021年第三批次招标代理</w:t>
            </w:r>
            <w:r>
              <w:rPr>
                <w:rFonts w:hint="eastAsia" w:eastAsiaTheme="minorEastAsia"/>
                <w:color w:val="auto"/>
                <w:sz w:val="24"/>
                <w:highlight w:val="none"/>
                <w:lang w:val="en-US" w:eastAsia="zh-CN"/>
              </w:rPr>
              <w:t>机构</w:t>
            </w:r>
            <w:r>
              <w:rPr>
                <w:rFonts w:hint="eastAsia" w:eastAsiaTheme="minorEastAsia"/>
                <w:color w:val="auto"/>
                <w:sz w:val="24"/>
                <w:highlight w:val="none"/>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2</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项目概况</w:t>
            </w:r>
          </w:p>
        </w:tc>
        <w:tc>
          <w:tcPr>
            <w:tcW w:w="6762" w:type="dxa"/>
          </w:tcPr>
          <w:p>
            <w:pPr>
              <w:jc w:val="left"/>
              <w:rPr>
                <w:rFonts w:eastAsiaTheme="minorEastAsia"/>
                <w:color w:val="auto"/>
                <w:sz w:val="24"/>
                <w:highlight w:val="none"/>
              </w:rPr>
            </w:pPr>
            <w:r>
              <w:rPr>
                <w:rFonts w:hint="eastAsia" w:eastAsiaTheme="minorEastAsia"/>
                <w:color w:val="auto"/>
                <w:sz w:val="24"/>
                <w:highlight w:val="none"/>
              </w:rPr>
              <w:t>具体详见公告附表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3</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项目内容</w:t>
            </w:r>
          </w:p>
        </w:tc>
        <w:tc>
          <w:tcPr>
            <w:tcW w:w="6762" w:type="dxa"/>
          </w:tcPr>
          <w:p>
            <w:pPr>
              <w:jc w:val="left"/>
              <w:rPr>
                <w:rFonts w:eastAsiaTheme="minorEastAsia"/>
                <w:color w:val="auto"/>
                <w:sz w:val="24"/>
                <w:highlight w:val="none"/>
              </w:rPr>
            </w:pPr>
            <w:r>
              <w:rPr>
                <w:rFonts w:hint="eastAsia" w:eastAsiaTheme="minorEastAsia"/>
                <w:color w:val="auto"/>
                <w:sz w:val="24"/>
                <w:highlight w:val="none"/>
              </w:rPr>
              <w:t>具体详见公告附表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4</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资金来源</w:t>
            </w:r>
          </w:p>
        </w:tc>
        <w:tc>
          <w:tcPr>
            <w:tcW w:w="6762" w:type="dxa"/>
            <w:shd w:val="clear" w:color="auto" w:fill="FFFFFF" w:themeFill="background1"/>
          </w:tcPr>
          <w:p>
            <w:pPr>
              <w:ind w:right="-3"/>
              <w:jc w:val="left"/>
              <w:rPr>
                <w:rFonts w:eastAsiaTheme="minorEastAsia"/>
                <w:color w:val="auto"/>
                <w:sz w:val="24"/>
                <w:highlight w:val="none"/>
              </w:rPr>
            </w:pPr>
            <w:r>
              <w:rPr>
                <w:rFonts w:eastAsiaTheme="minorEastAsia"/>
                <w:color w:val="auto"/>
                <w:sz w:val="24"/>
                <w:highlight w:val="none"/>
              </w:rPr>
              <w:t>企业自筹，已落实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5</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计费方式</w:t>
            </w:r>
          </w:p>
        </w:tc>
        <w:tc>
          <w:tcPr>
            <w:tcW w:w="6762" w:type="dxa"/>
          </w:tcPr>
          <w:p>
            <w:pPr>
              <w:rPr>
                <w:rFonts w:eastAsiaTheme="minorEastAsia"/>
                <w:color w:val="auto"/>
                <w:sz w:val="24"/>
                <w:highlight w:val="none"/>
              </w:rPr>
            </w:pPr>
            <w:r>
              <w:rPr>
                <w:rFonts w:hint="eastAsia" w:eastAsiaTheme="minorEastAsia"/>
                <w:color w:val="auto"/>
                <w:sz w:val="24"/>
                <w:highlight w:val="none"/>
              </w:rPr>
              <w:t>招标代理服务费计费方式：</w:t>
            </w:r>
          </w:p>
          <w:p>
            <w:pPr>
              <w:rPr>
                <w:rFonts w:eastAsiaTheme="minorEastAsia"/>
                <w:color w:val="auto"/>
                <w:sz w:val="24"/>
                <w:highlight w:val="none"/>
              </w:rPr>
            </w:pPr>
            <w:r>
              <w:rPr>
                <w:rFonts w:hint="eastAsia" w:eastAsiaTheme="minorEastAsia"/>
                <w:color w:val="auto"/>
                <w:sz w:val="24"/>
                <w:highlight w:val="none"/>
              </w:rPr>
              <w:t>招标代理服务费=某招标项目的实际中标金额×招标代理服务费收费标准×（1-招标代理服务费比选下浮费率   %）（</w:t>
            </w:r>
            <w:r>
              <w:rPr>
                <w:rFonts w:eastAsiaTheme="minorEastAsia"/>
                <w:color w:val="auto"/>
                <w:sz w:val="24"/>
                <w:highlight w:val="none"/>
              </w:rPr>
              <w:t>按差额定率累进法</w:t>
            </w:r>
            <w:r>
              <w:rPr>
                <w:rFonts w:hint="eastAsia" w:eastAsiaTheme="minorEastAsia"/>
                <w:color w:val="auto"/>
                <w:sz w:val="24"/>
                <w:highlight w:val="none"/>
              </w:rPr>
              <w:t>计算），服务类型（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6</w:t>
            </w:r>
          </w:p>
        </w:tc>
        <w:tc>
          <w:tcPr>
            <w:tcW w:w="1732" w:type="dxa"/>
            <w:vAlign w:val="center"/>
          </w:tcPr>
          <w:p>
            <w:pPr>
              <w:jc w:val="left"/>
              <w:rPr>
                <w:rFonts w:eastAsiaTheme="minorEastAsia"/>
                <w:color w:val="auto"/>
                <w:sz w:val="24"/>
                <w:highlight w:val="none"/>
              </w:rPr>
            </w:pPr>
            <w:r>
              <w:rPr>
                <w:rFonts w:hint="eastAsia" w:eastAsiaTheme="minorEastAsia"/>
                <w:color w:val="auto"/>
                <w:sz w:val="24"/>
                <w:highlight w:val="none"/>
                <w:lang w:val="en-US" w:eastAsia="zh-CN"/>
              </w:rPr>
              <w:t>最高</w:t>
            </w:r>
            <w:r>
              <w:rPr>
                <w:rFonts w:eastAsiaTheme="minorEastAsia"/>
                <w:color w:val="auto"/>
                <w:sz w:val="24"/>
                <w:highlight w:val="none"/>
              </w:rPr>
              <w:t>控制价</w:t>
            </w:r>
          </w:p>
        </w:tc>
        <w:tc>
          <w:tcPr>
            <w:tcW w:w="6762" w:type="dxa"/>
            <w:vAlign w:val="center"/>
          </w:tcPr>
          <w:p>
            <w:pPr>
              <w:ind w:right="-3"/>
              <w:jc w:val="left"/>
              <w:rPr>
                <w:rFonts w:eastAsiaTheme="minorEastAsia"/>
                <w:color w:val="auto"/>
                <w:sz w:val="24"/>
                <w:highlight w:val="none"/>
              </w:rPr>
            </w:pPr>
            <w:r>
              <w:rPr>
                <w:rFonts w:hint="eastAsia" w:eastAsiaTheme="minorEastAsia"/>
                <w:color w:val="auto"/>
                <w:sz w:val="24"/>
                <w:highlight w:val="none"/>
                <w:lang w:val="en-US" w:eastAsia="zh-CN"/>
              </w:rPr>
              <w:t>按照收费标准至少下浮30%</w:t>
            </w:r>
            <w:r>
              <w:rPr>
                <w:rFonts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7</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报价方式</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下浮费率的方式报价，详见报价表。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8</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合同期限</w:t>
            </w:r>
          </w:p>
        </w:tc>
        <w:tc>
          <w:tcPr>
            <w:tcW w:w="6762" w:type="dxa"/>
            <w:vAlign w:val="center"/>
          </w:tcPr>
          <w:p>
            <w:pPr>
              <w:ind w:right="-3"/>
              <w:jc w:val="left"/>
              <w:rPr>
                <w:rFonts w:eastAsiaTheme="minorEastAsia"/>
                <w:color w:val="auto"/>
                <w:sz w:val="24"/>
                <w:highlight w:val="none"/>
              </w:rPr>
            </w:pPr>
            <w:r>
              <w:rPr>
                <w:rFonts w:eastAsiaTheme="minorEastAsia"/>
                <w:color w:val="auto"/>
                <w:sz w:val="24"/>
                <w:highlight w:val="none"/>
              </w:rPr>
              <w:t>自签订合同之日起至合同履约完成之日止。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9</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比选申请人资格要求</w:t>
            </w:r>
          </w:p>
        </w:tc>
        <w:tc>
          <w:tcPr>
            <w:tcW w:w="6762" w:type="dxa"/>
            <w:vAlign w:val="center"/>
          </w:tcPr>
          <w:p>
            <w:pPr>
              <w:rPr>
                <w:rFonts w:eastAsiaTheme="minorEastAsia"/>
                <w:color w:val="auto"/>
                <w:sz w:val="24"/>
                <w:highlight w:val="none"/>
              </w:rPr>
            </w:pPr>
            <w:r>
              <w:rPr>
                <w:rFonts w:eastAsiaTheme="minorEastAsia"/>
                <w:color w:val="auto"/>
                <w:sz w:val="24"/>
                <w:highlight w:val="none"/>
              </w:rPr>
              <w:t>1、参选人须为</w:t>
            </w:r>
            <w:r>
              <w:rPr>
                <w:rFonts w:hint="eastAsia" w:eastAsiaTheme="minorEastAsia"/>
                <w:color w:val="auto"/>
                <w:sz w:val="24"/>
                <w:highlight w:val="none"/>
              </w:rPr>
              <w:t>桂林市轨道交通集团有限公司及桂林市交通投资控股集团有限公司代理库内成员单位，具体详见后附名单</w:t>
            </w:r>
            <w:r>
              <w:rPr>
                <w:rFonts w:eastAsiaTheme="minorEastAsia"/>
                <w:color w:val="auto"/>
                <w:sz w:val="24"/>
                <w:highlight w:val="none"/>
              </w:rPr>
              <w:t>。</w:t>
            </w:r>
          </w:p>
          <w:p>
            <w:pPr>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、本次比选不接受联合体参选。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10</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比选文件的获取</w:t>
            </w:r>
          </w:p>
        </w:tc>
        <w:tc>
          <w:tcPr>
            <w:tcW w:w="6762" w:type="dxa"/>
            <w:vAlign w:val="center"/>
          </w:tcPr>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比选申请人潜在供应商自行到 </w:t>
            </w:r>
            <w:r>
              <w:rPr>
                <w:rFonts w:hint="eastAsia" w:eastAsiaTheme="minorEastAsia"/>
                <w:b/>
                <w:bCs/>
                <w:color w:val="auto"/>
                <w:sz w:val="24"/>
                <w:highlight w:val="none"/>
              </w:rPr>
              <w:t xml:space="preserve">桂林市秀峰区翠竹路75号鼎富大厦B座14楼 </w:t>
            </w:r>
            <w:r>
              <w:rPr>
                <w:rFonts w:hint="eastAsia" w:eastAsiaTheme="minorEastAsia"/>
                <w:color w:val="auto"/>
                <w:sz w:val="24"/>
                <w:highlight w:val="none"/>
              </w:rPr>
              <w:t>免费领取，或通过电子邮件方式进行发送文件</w:t>
            </w:r>
            <w:r>
              <w:rPr>
                <w:rFonts w:hint="eastAsia" w:ascii="宋体" w:hAnsi="宋体"/>
                <w:color w:val="000000"/>
                <w:sz w:val="24"/>
                <w:szCs w:val="21"/>
                <w:highlight w:val="none"/>
                <w:lang w:eastAsia="zh-CN"/>
              </w:rPr>
              <w:t>，</w:t>
            </w:r>
            <w:r>
              <w:rPr>
                <w:rFonts w:hint="eastAsia" w:ascii="宋体" w:hAnsi="宋体"/>
                <w:color w:val="000000"/>
                <w:sz w:val="24"/>
                <w:szCs w:val="21"/>
                <w:highlight w:val="none"/>
                <w:lang w:val="en-US" w:eastAsia="zh-CN"/>
              </w:rPr>
              <w:t>或自行在网上下载</w:t>
            </w:r>
            <w:r>
              <w:rPr>
                <w:rFonts w:hint="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eastAsiaTheme="minorEastAsia"/>
                <w:color w:val="auto"/>
                <w:sz w:val="24"/>
                <w:highlight w:val="none"/>
              </w:rPr>
            </w:pPr>
            <w:r>
              <w:rPr>
                <w:rFonts w:eastAsiaTheme="minorEastAsia"/>
                <w:color w:val="auto"/>
                <w:sz w:val="24"/>
                <w:highlight w:val="none"/>
              </w:rPr>
              <w:t>11</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比选有效期</w:t>
            </w:r>
          </w:p>
        </w:tc>
        <w:tc>
          <w:tcPr>
            <w:tcW w:w="6762" w:type="dxa"/>
            <w:vAlign w:val="center"/>
          </w:tcPr>
          <w:p>
            <w:pPr>
              <w:rPr>
                <w:rFonts w:eastAsiaTheme="minorEastAsia"/>
                <w:color w:val="auto"/>
                <w:sz w:val="24"/>
                <w:highlight w:val="none"/>
              </w:rPr>
            </w:pPr>
            <w:r>
              <w:rPr>
                <w:rFonts w:hint="eastAsia" w:eastAsiaTheme="minorEastAsia"/>
                <w:color w:val="auto"/>
                <w:sz w:val="24"/>
                <w:highlight w:val="none"/>
              </w:rPr>
              <w:t>270日历天</w:t>
            </w:r>
            <w:r>
              <w:rPr>
                <w:rFonts w:eastAsiaTheme="minorEastAsia"/>
                <w:color w:val="auto"/>
                <w:sz w:val="24"/>
                <w:highlight w:val="none"/>
              </w:rPr>
              <w:t>（比选有效期是指为保证比选人有足够的时间完成评审和与中选人签订合同而在一定时间内保持有效的期限。比选有效期从比选申请文件递交截止之日算起。）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12</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比选申请文件份数</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纸质版一式</w:t>
            </w:r>
            <w:r>
              <w:rPr>
                <w:rFonts w:hint="eastAsia" w:eastAsiaTheme="minorEastAsia"/>
                <w:color w:val="auto"/>
                <w:sz w:val="24"/>
                <w:highlight w:val="none"/>
              </w:rPr>
              <w:t>三</w:t>
            </w:r>
            <w:r>
              <w:rPr>
                <w:rFonts w:eastAsiaTheme="minorEastAsia"/>
                <w:color w:val="auto"/>
                <w:sz w:val="24"/>
                <w:highlight w:val="none"/>
              </w:rPr>
              <w:t>份，其中正本一份、副本</w:t>
            </w:r>
            <w:r>
              <w:rPr>
                <w:rFonts w:hint="eastAsia" w:eastAsiaTheme="minorEastAsia"/>
                <w:color w:val="auto"/>
                <w:sz w:val="24"/>
                <w:highlight w:val="none"/>
              </w:rPr>
              <w:t>二</w:t>
            </w:r>
            <w:r>
              <w:rPr>
                <w:rFonts w:eastAsiaTheme="minorEastAsia"/>
                <w:color w:val="auto"/>
                <w:sz w:val="24"/>
                <w:highlight w:val="none"/>
              </w:rPr>
              <w:t>份（电子版</w:t>
            </w:r>
            <w:r>
              <w:rPr>
                <w:rFonts w:hint="eastAsia" w:eastAsiaTheme="minorEastAsia"/>
                <w:color w:val="auto"/>
                <w:sz w:val="24"/>
                <w:highlight w:val="none"/>
              </w:rPr>
              <w:t>一份，U盘形式</w:t>
            </w:r>
            <w:r>
              <w:rPr>
                <w:rFonts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13</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比选申请文件递交</w:t>
            </w:r>
            <w:r>
              <w:rPr>
                <w:rFonts w:hint="eastAsia" w:eastAsiaTheme="minorEastAsia"/>
                <w:color w:val="auto"/>
                <w:sz w:val="24"/>
                <w:highlight w:val="none"/>
              </w:rPr>
              <w:t>单位和</w:t>
            </w:r>
            <w:r>
              <w:rPr>
                <w:rFonts w:eastAsiaTheme="minorEastAsia"/>
                <w:color w:val="auto"/>
                <w:sz w:val="24"/>
                <w:highlight w:val="none"/>
              </w:rPr>
              <w:t>地址</w:t>
            </w:r>
          </w:p>
        </w:tc>
        <w:tc>
          <w:tcPr>
            <w:tcW w:w="6762" w:type="dxa"/>
            <w:vAlign w:val="center"/>
          </w:tcPr>
          <w:p>
            <w:pPr>
              <w:ind w:right="-137"/>
              <w:jc w:val="left"/>
              <w:rPr>
                <w:color w:val="auto"/>
                <w:sz w:val="24"/>
                <w:highlight w:val="none"/>
              </w:rPr>
            </w:pPr>
            <w:r>
              <w:rPr>
                <w:rFonts w:hint="eastAsia"/>
                <w:color w:val="auto"/>
                <w:sz w:val="24"/>
                <w:highlight w:val="none"/>
              </w:rPr>
              <w:t>单位：桂林市道睿置业有限公司</w:t>
            </w:r>
          </w:p>
          <w:p>
            <w:pPr>
              <w:ind w:right="-137"/>
              <w:jc w:val="left"/>
              <w:rPr>
                <w:rFonts w:eastAsiaTheme="minorEastAsia"/>
                <w:color w:val="auto"/>
                <w:sz w:val="24"/>
                <w:highlight w:val="none"/>
              </w:rPr>
            </w:pPr>
            <w:r>
              <w:rPr>
                <w:rFonts w:hint="eastAsia"/>
                <w:color w:val="auto"/>
                <w:sz w:val="24"/>
                <w:highlight w:val="none"/>
              </w:rPr>
              <w:t>地址：桂林市秀峰区75号鼎富大厦B座14楼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14</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比选申请文件递交截止时间</w:t>
            </w:r>
          </w:p>
        </w:tc>
        <w:tc>
          <w:tcPr>
            <w:tcW w:w="6762" w:type="dxa"/>
            <w:shd w:val="clear" w:color="auto" w:fill="FFFFFF" w:themeFill="background1"/>
            <w:vAlign w:val="center"/>
          </w:tcPr>
          <w:p>
            <w:pPr>
              <w:rPr>
                <w:rFonts w:eastAsiaTheme="minorEastAsia"/>
                <w:color w:val="auto"/>
                <w:sz w:val="24"/>
                <w:highlight w:val="none"/>
              </w:rPr>
            </w:pPr>
            <w:r>
              <w:rPr>
                <w:rFonts w:hint="eastAsia" w:eastAsiaTheme="minorEastAsia"/>
                <w:color w:val="auto"/>
                <w:sz w:val="24"/>
                <w:highlight w:val="none"/>
              </w:rPr>
              <w:t>2021年</w:t>
            </w:r>
            <w:r>
              <w:rPr>
                <w:rFonts w:hint="eastAsia" w:eastAsiaTheme="minorEastAsia"/>
                <w:color w:val="auto"/>
                <w:sz w:val="24"/>
                <w:highlight w:val="none"/>
                <w:lang w:val="en-US" w:eastAsia="zh-CN"/>
              </w:rPr>
              <w:t>6</w:t>
            </w:r>
            <w:r>
              <w:rPr>
                <w:rFonts w:hint="eastAsia" w:eastAsiaTheme="minorEastAsia"/>
                <w:color w:val="auto"/>
                <w:sz w:val="24"/>
                <w:highlight w:val="none"/>
              </w:rPr>
              <w:t>月</w:t>
            </w:r>
            <w:r>
              <w:rPr>
                <w:rFonts w:eastAsiaTheme="minorEastAsia"/>
                <w:color w:val="auto"/>
                <w:sz w:val="24"/>
                <w:highlight w:val="none"/>
              </w:rPr>
              <w:t xml:space="preserve"> </w:t>
            </w:r>
            <w:r>
              <w:rPr>
                <w:rFonts w:hint="eastAsia" w:eastAsiaTheme="minorEastAsia"/>
                <w:color w:val="auto"/>
                <w:sz w:val="24"/>
                <w:highlight w:val="none"/>
                <w:lang w:val="en-US" w:eastAsia="zh-CN"/>
              </w:rPr>
              <w:t xml:space="preserve">5 </w:t>
            </w:r>
            <w:r>
              <w:rPr>
                <w:rFonts w:hint="eastAsia" w:eastAsiaTheme="minorEastAsia"/>
                <w:color w:val="auto"/>
                <w:sz w:val="24"/>
                <w:highlight w:val="none"/>
              </w:rPr>
              <w:t>日</w:t>
            </w:r>
            <w:r>
              <w:rPr>
                <w:rFonts w:hint="eastAsia" w:eastAsiaTheme="minorEastAsia"/>
                <w:color w:val="auto"/>
                <w:sz w:val="24"/>
                <w:highlight w:val="none"/>
                <w:lang w:val="en-US" w:eastAsia="zh-CN"/>
              </w:rPr>
              <w:t>10</w:t>
            </w:r>
            <w:r>
              <w:rPr>
                <w:rFonts w:hint="eastAsia" w:eastAsiaTheme="minorEastAsia"/>
                <w:color w:val="auto"/>
                <w:sz w:val="24"/>
                <w:highlight w:val="none"/>
              </w:rPr>
              <w:t>时</w:t>
            </w:r>
            <w:r>
              <w:rPr>
                <w:rFonts w:eastAsiaTheme="minorEastAsia"/>
                <w:color w:val="auto"/>
                <w:sz w:val="24"/>
                <w:highlight w:val="none"/>
              </w:rPr>
              <w:t>3</w:t>
            </w:r>
            <w:r>
              <w:rPr>
                <w:rFonts w:hint="eastAsia" w:eastAsiaTheme="minorEastAsia"/>
                <w:color w:val="auto"/>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15</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比选申请文件递交要求</w:t>
            </w:r>
          </w:p>
        </w:tc>
        <w:tc>
          <w:tcPr>
            <w:tcW w:w="6762" w:type="dxa"/>
            <w:shd w:val="clear" w:color="auto" w:fill="FFFFFF" w:themeFill="background1"/>
            <w:vAlign w:val="center"/>
          </w:tcPr>
          <w:p>
            <w:pPr>
              <w:ind w:right="-3"/>
              <w:jc w:val="left"/>
              <w:rPr>
                <w:rFonts w:eastAsiaTheme="minorEastAsia"/>
                <w:color w:val="auto"/>
                <w:sz w:val="24"/>
                <w:highlight w:val="none"/>
              </w:rPr>
            </w:pPr>
            <w:r>
              <w:rPr>
                <w:rFonts w:eastAsiaTheme="minorEastAsia"/>
                <w:color w:val="auto"/>
                <w:sz w:val="24"/>
                <w:highlight w:val="none"/>
              </w:rPr>
              <w:t>逾期送达或不符合比选文件密封规定的比选申请文件将被拒绝接收。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16</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评比办法</w:t>
            </w:r>
          </w:p>
        </w:tc>
        <w:tc>
          <w:tcPr>
            <w:tcW w:w="6762" w:type="dxa"/>
            <w:vAlign w:val="center"/>
          </w:tcPr>
          <w:p>
            <w:pPr>
              <w:ind w:right="753"/>
              <w:jc w:val="left"/>
              <w:rPr>
                <w:rFonts w:eastAsiaTheme="minorEastAsia"/>
                <w:color w:val="auto"/>
                <w:sz w:val="24"/>
                <w:highlight w:val="none"/>
              </w:rPr>
            </w:pPr>
            <w:r>
              <w:rPr>
                <w:rFonts w:eastAsiaTheme="minorEastAsia"/>
                <w:color w:val="auto"/>
                <w:sz w:val="24"/>
                <w:highlight w:val="none"/>
              </w:rPr>
              <w:t>采用综合评分法（详见第五章）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17</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中选通知</w:t>
            </w:r>
          </w:p>
        </w:tc>
        <w:tc>
          <w:tcPr>
            <w:tcW w:w="6762" w:type="dxa"/>
          </w:tcPr>
          <w:p>
            <w:pPr>
              <w:ind w:right="-3"/>
              <w:jc w:val="left"/>
              <w:rPr>
                <w:rFonts w:eastAsiaTheme="minorEastAsia"/>
                <w:color w:val="auto"/>
                <w:sz w:val="24"/>
                <w:highlight w:val="none"/>
              </w:rPr>
            </w:pPr>
            <w:r>
              <w:rPr>
                <w:rFonts w:eastAsiaTheme="minorEastAsia"/>
                <w:color w:val="auto"/>
                <w:sz w:val="24"/>
                <w:highlight w:val="none"/>
              </w:rPr>
              <w:t>比选人根据评比委员会的评比结果在比选有效期内向中选的比选申请人发出中选通知书。</w:t>
            </w:r>
          </w:p>
          <w:p>
            <w:pPr>
              <w:ind w:right="-3"/>
              <w:jc w:val="left"/>
              <w:rPr>
                <w:rFonts w:eastAsiaTheme="minorEastAsia"/>
                <w:color w:val="auto"/>
                <w:sz w:val="24"/>
                <w:highlight w:val="none"/>
              </w:rPr>
            </w:pPr>
            <w:r>
              <w:rPr>
                <w:rFonts w:eastAsiaTheme="minorEastAsia"/>
                <w:color w:val="auto"/>
                <w:sz w:val="24"/>
                <w:highlight w:val="none"/>
              </w:rPr>
              <w:t>比选人无义务向未中选的比选申请人解释未中选原因和退还其比选文件。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18</w:t>
            </w:r>
          </w:p>
        </w:tc>
        <w:tc>
          <w:tcPr>
            <w:tcW w:w="1732" w:type="dxa"/>
            <w:vAlign w:val="center"/>
          </w:tcPr>
          <w:p>
            <w:pPr>
              <w:rPr>
                <w:rFonts w:eastAsiaTheme="minorEastAsia"/>
                <w:color w:val="auto"/>
                <w:sz w:val="24"/>
                <w:highlight w:val="none"/>
              </w:rPr>
            </w:pPr>
            <w:r>
              <w:rPr>
                <w:rFonts w:eastAsiaTheme="minorEastAsia"/>
                <w:color w:val="auto"/>
                <w:sz w:val="24"/>
                <w:highlight w:val="none"/>
              </w:rPr>
              <w:t>比选保证金</w:t>
            </w:r>
          </w:p>
        </w:tc>
        <w:tc>
          <w:tcPr>
            <w:tcW w:w="6762" w:type="dxa"/>
            <w:vAlign w:val="center"/>
          </w:tcPr>
          <w:p>
            <w:pPr>
              <w:rPr>
                <w:rFonts w:eastAsiaTheme="minorEastAsia"/>
                <w:color w:val="auto"/>
                <w:sz w:val="24"/>
                <w:highlight w:val="none"/>
              </w:rPr>
            </w:pPr>
            <w:r>
              <w:rPr>
                <w:rFonts w:eastAsiaTheme="minorEastAsia"/>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19</w:t>
            </w:r>
          </w:p>
        </w:tc>
        <w:tc>
          <w:tcPr>
            <w:tcW w:w="1732" w:type="dxa"/>
            <w:vAlign w:val="center"/>
          </w:tcPr>
          <w:p>
            <w:pPr>
              <w:rPr>
                <w:rFonts w:eastAsiaTheme="minorEastAsia"/>
                <w:color w:val="auto"/>
                <w:sz w:val="24"/>
                <w:highlight w:val="none"/>
              </w:rPr>
            </w:pPr>
            <w:r>
              <w:rPr>
                <w:rFonts w:eastAsiaTheme="minorEastAsia"/>
                <w:color w:val="auto"/>
                <w:sz w:val="24"/>
                <w:highlight w:val="none"/>
              </w:rPr>
              <w:t>履约保证金</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20</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其他事项</w:t>
            </w:r>
          </w:p>
        </w:tc>
        <w:tc>
          <w:tcPr>
            <w:tcW w:w="6762" w:type="dxa"/>
            <w:vAlign w:val="center"/>
          </w:tcPr>
          <w:p>
            <w:pPr>
              <w:ind w:right="-3"/>
              <w:jc w:val="left"/>
              <w:rPr>
                <w:rFonts w:eastAsiaTheme="minorEastAsia"/>
                <w:color w:val="auto"/>
                <w:sz w:val="24"/>
                <w:highlight w:val="none"/>
              </w:rPr>
            </w:pPr>
            <w:r>
              <w:rPr>
                <w:rFonts w:eastAsiaTheme="minorEastAsia"/>
                <w:color w:val="auto"/>
                <w:sz w:val="24"/>
                <w:highlight w:val="none"/>
              </w:rPr>
              <w:t>中选单位如放弃中选资格，则比选人有权将其列入不良行为记录名单、两年内禁止其参加比选人的任何比选项目。</w:t>
            </w:r>
          </w:p>
          <w:p>
            <w:pPr>
              <w:ind w:right="-3"/>
              <w:jc w:val="left"/>
              <w:rPr>
                <w:rFonts w:eastAsiaTheme="minorEastAsia"/>
                <w:color w:val="auto"/>
                <w:sz w:val="24"/>
                <w:highlight w:val="none"/>
              </w:rPr>
            </w:pPr>
            <w:r>
              <w:rPr>
                <w:rFonts w:hint="eastAsia" w:eastAsiaTheme="minorEastAsia"/>
                <w:b/>
                <w:bCs/>
                <w:color w:val="auto"/>
                <w:sz w:val="24"/>
                <w:highlight w:val="none"/>
              </w:rPr>
              <w:t>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选择参与。</w:t>
            </w:r>
          </w:p>
        </w:tc>
      </w:tr>
    </w:tbl>
    <w:p>
      <w:pPr>
        <w:rPr>
          <w:rFonts w:eastAsiaTheme="minorEastAsia"/>
          <w:color w:val="auto"/>
          <w:szCs w:val="21"/>
          <w:highlight w:val="none"/>
        </w:rPr>
      </w:pPr>
      <w:bookmarkStart w:id="71" w:name="_Toc30162"/>
      <w:bookmarkStart w:id="72" w:name="_Toc16198"/>
      <w:bookmarkStart w:id="73" w:name="_Toc28086"/>
      <w:bookmarkStart w:id="74" w:name="_Toc20803"/>
      <w:bookmarkStart w:id="75" w:name="_Toc3861"/>
      <w:bookmarkStart w:id="76" w:name="_Toc12506"/>
      <w:bookmarkStart w:id="77" w:name="_Toc18983"/>
      <w:bookmarkStart w:id="78" w:name="_Toc12419"/>
      <w:bookmarkStart w:id="79" w:name="_Toc461525297"/>
      <w:bookmarkStart w:id="80" w:name="_Toc26201"/>
      <w:bookmarkStart w:id="81" w:name="_Toc6681"/>
      <w:bookmarkStart w:id="82" w:name="_Toc336"/>
      <w:bookmarkStart w:id="83" w:name="_Toc32363"/>
    </w:p>
    <w:p>
      <w:pPr>
        <w:rPr>
          <w:rFonts w:eastAsiaTheme="minorEastAsia"/>
          <w:color w:val="auto"/>
          <w:szCs w:val="21"/>
          <w:highlight w:val="none"/>
        </w:rPr>
      </w:pPr>
    </w:p>
    <w:p>
      <w:pPr>
        <w:rPr>
          <w:rFonts w:eastAsiaTheme="minorEastAsia"/>
          <w:color w:val="auto"/>
          <w:szCs w:val="21"/>
          <w:highlight w:val="none"/>
        </w:rPr>
      </w:pPr>
    </w:p>
    <w:p>
      <w:pPr>
        <w:rPr>
          <w:rFonts w:eastAsiaTheme="minorEastAsia"/>
          <w:color w:val="auto"/>
          <w:highlight w:val="none"/>
        </w:rPr>
      </w:pPr>
    </w:p>
    <w:p>
      <w:pPr>
        <w:rPr>
          <w:rFonts w:eastAsiaTheme="minorEastAsia"/>
          <w:color w:val="auto"/>
          <w:highlight w:val="none"/>
        </w:rPr>
      </w:pPr>
    </w:p>
    <w:p>
      <w:pPr>
        <w:rPr>
          <w:rFonts w:eastAsiaTheme="minorEastAsia"/>
          <w:color w:val="auto"/>
          <w:highlight w:val="none"/>
        </w:rPr>
      </w:pPr>
    </w:p>
    <w:p>
      <w:pPr>
        <w:rPr>
          <w:rFonts w:eastAsiaTheme="minorEastAsia"/>
          <w:color w:val="auto"/>
          <w:szCs w:val="21"/>
          <w:highlight w:val="none"/>
        </w:rPr>
      </w:pPr>
    </w:p>
    <w:p>
      <w:pPr>
        <w:rPr>
          <w:rFonts w:eastAsiaTheme="minorEastAsia"/>
          <w:color w:val="auto"/>
          <w:szCs w:val="21"/>
          <w:highlight w:val="none"/>
        </w:rPr>
      </w:pPr>
    </w:p>
    <w:p>
      <w:pPr>
        <w:widowControl/>
        <w:jc w:val="left"/>
        <w:rPr>
          <w:rFonts w:eastAsiaTheme="minorEastAsia"/>
          <w:color w:val="auto"/>
          <w:kern w:val="0"/>
          <w:sz w:val="24"/>
          <w:highlight w:val="none"/>
        </w:rPr>
      </w:pPr>
      <w:r>
        <w:rPr>
          <w:rFonts w:eastAsiaTheme="minorEastAsia"/>
          <w:color w:val="auto"/>
          <w:sz w:val="24"/>
          <w:highlight w:val="none"/>
        </w:rPr>
        <w:br w:type="page"/>
      </w:r>
    </w:p>
    <w:p>
      <w:pPr>
        <w:pStyle w:val="2"/>
        <w:spacing w:before="0" w:after="0" w:line="360" w:lineRule="auto"/>
        <w:jc w:val="center"/>
        <w:rPr>
          <w:rFonts w:ascii="Times New Roman" w:hAnsi="Times New Roman" w:eastAsiaTheme="minorEastAsia"/>
          <w:color w:val="auto"/>
          <w:sz w:val="24"/>
          <w:szCs w:val="24"/>
          <w:highlight w:val="none"/>
        </w:rPr>
      </w:pPr>
      <w:bookmarkStart w:id="84" w:name="_Toc13702"/>
      <w:bookmarkStart w:id="85" w:name="_Toc26027"/>
      <w:r>
        <w:rPr>
          <w:rFonts w:ascii="Times New Roman" w:hAnsi="Times New Roman" w:eastAsiaTheme="minorEastAsia"/>
          <w:color w:val="auto"/>
          <w:sz w:val="24"/>
          <w:szCs w:val="24"/>
          <w:highlight w:val="none"/>
        </w:rPr>
        <w:t>一、总则</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spacing w:line="360" w:lineRule="auto"/>
        <w:ind w:right="753"/>
        <w:jc w:val="left"/>
        <w:rPr>
          <w:rFonts w:eastAsiaTheme="minorEastAsia"/>
          <w:color w:val="auto"/>
          <w:sz w:val="24"/>
          <w:highlight w:val="none"/>
        </w:rPr>
      </w:pPr>
      <w:bookmarkStart w:id="86" w:name="_Toc286386834"/>
      <w:bookmarkStart w:id="87" w:name="_Toc114052340"/>
      <w:bookmarkStart w:id="88" w:name="_Toc114052414"/>
      <w:bookmarkStart w:id="89" w:name="_Toc310318572"/>
      <w:r>
        <w:rPr>
          <w:rFonts w:eastAsiaTheme="minorEastAsia"/>
          <w:color w:val="auto"/>
          <w:sz w:val="24"/>
          <w:highlight w:val="none"/>
        </w:rPr>
        <w:t xml:space="preserve">    1.项目比选说明</w:t>
      </w:r>
      <w:bookmarkEnd w:id="86"/>
      <w:bookmarkEnd w:id="87"/>
      <w:bookmarkEnd w:id="88"/>
      <w:bookmarkEnd w:id="89"/>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1.1 项目比选的说明见比选须知前附表（以下称“前附表”）第1项～第20项所述。</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1.2 上述项目按照国家有关的法律、法规作为依据，并按照</w:t>
      </w:r>
      <w:r>
        <w:rPr>
          <w:rFonts w:hint="eastAsia" w:eastAsiaTheme="minorEastAsia"/>
          <w:color w:val="auto"/>
          <w:sz w:val="24"/>
          <w:highlight w:val="none"/>
        </w:rPr>
        <w:t>桂林</w:t>
      </w:r>
      <w:r>
        <w:rPr>
          <w:rFonts w:eastAsiaTheme="minorEastAsia"/>
          <w:color w:val="auto"/>
          <w:sz w:val="24"/>
          <w:highlight w:val="none"/>
        </w:rPr>
        <w:t>市政府现行有关规定执行，</w:t>
      </w:r>
      <w:r>
        <w:rPr>
          <w:rFonts w:hint="eastAsia" w:eastAsiaTheme="minorEastAsia"/>
          <w:color w:val="auto"/>
          <w:sz w:val="24"/>
          <w:highlight w:val="none"/>
        </w:rPr>
        <w:t xml:space="preserve"> 桂林市道睿置业有限公司</w:t>
      </w:r>
      <w:r>
        <w:rPr>
          <w:rFonts w:eastAsiaTheme="minorEastAsia"/>
          <w:color w:val="auto"/>
          <w:sz w:val="24"/>
          <w:highlight w:val="none"/>
        </w:rPr>
        <w:t>现通过公开比选来择优选定服务单位。</w:t>
      </w:r>
    </w:p>
    <w:p>
      <w:pPr>
        <w:spacing w:line="360" w:lineRule="auto"/>
        <w:jc w:val="left"/>
        <w:rPr>
          <w:rFonts w:eastAsiaTheme="minorEastAsia"/>
          <w:color w:val="auto"/>
          <w:sz w:val="24"/>
          <w:highlight w:val="none"/>
        </w:rPr>
      </w:pPr>
      <w:r>
        <w:rPr>
          <w:rFonts w:eastAsiaTheme="minorEastAsia"/>
          <w:color w:val="auto"/>
          <w:sz w:val="24"/>
          <w:highlight w:val="none"/>
        </w:rPr>
        <w:t xml:space="preserve">    2.工作内容：</w:t>
      </w:r>
      <w:r>
        <w:rPr>
          <w:rFonts w:hint="eastAsia" w:eastAsiaTheme="minorEastAsia"/>
          <w:color w:val="auto"/>
          <w:sz w:val="24"/>
          <w:highlight w:val="none"/>
        </w:rPr>
        <w:t>具体详见公告附表</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3.资金来源</w:t>
      </w:r>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资金来源见前附表第4项所述。</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4.</w:t>
      </w:r>
      <w:bookmarkStart w:id="90" w:name="_Toc114052342"/>
      <w:bookmarkStart w:id="91" w:name="_Toc286386836"/>
      <w:bookmarkStart w:id="92" w:name="_Toc114052416"/>
      <w:bookmarkStart w:id="93" w:name="_Toc310318574"/>
      <w:r>
        <w:rPr>
          <w:rFonts w:eastAsiaTheme="minorEastAsia"/>
          <w:color w:val="auto"/>
          <w:sz w:val="24"/>
          <w:highlight w:val="none"/>
        </w:rPr>
        <w:t>比选申请人资格要求</w:t>
      </w:r>
      <w:bookmarkEnd w:id="90"/>
      <w:bookmarkEnd w:id="91"/>
      <w:bookmarkEnd w:id="92"/>
      <w:bookmarkEnd w:id="93"/>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4.1比选申请人必须具有前附表第9项相应的</w:t>
      </w:r>
      <w:r>
        <w:rPr>
          <w:rFonts w:hint="eastAsia" w:eastAsiaTheme="minorEastAsia"/>
          <w:color w:val="auto"/>
          <w:sz w:val="24"/>
          <w:highlight w:val="none"/>
        </w:rPr>
        <w:t>资格</w:t>
      </w:r>
      <w:r>
        <w:rPr>
          <w:rFonts w:eastAsiaTheme="minorEastAsia"/>
          <w:color w:val="auto"/>
          <w:sz w:val="24"/>
          <w:highlight w:val="none"/>
        </w:rPr>
        <w:t>要求。</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5.</w:t>
      </w:r>
      <w:bookmarkStart w:id="94" w:name="_Toc114052417"/>
      <w:bookmarkStart w:id="95" w:name="_Toc310318575"/>
      <w:bookmarkStart w:id="96" w:name="_Toc114052343"/>
      <w:bookmarkStart w:id="97" w:name="_Toc286386837"/>
      <w:r>
        <w:rPr>
          <w:rFonts w:eastAsiaTheme="minorEastAsia"/>
          <w:color w:val="auto"/>
          <w:sz w:val="24"/>
          <w:highlight w:val="none"/>
        </w:rPr>
        <w:t>申请比选费用</w:t>
      </w:r>
      <w:bookmarkEnd w:id="94"/>
      <w:bookmarkEnd w:id="95"/>
      <w:bookmarkEnd w:id="96"/>
      <w:bookmarkEnd w:id="97"/>
    </w:p>
    <w:p>
      <w:pPr>
        <w:tabs>
          <w:tab w:val="left" w:pos="8610"/>
        </w:tabs>
        <w:spacing w:line="360" w:lineRule="auto"/>
        <w:ind w:right="-21"/>
        <w:jc w:val="left"/>
        <w:rPr>
          <w:rFonts w:eastAsiaTheme="minorEastAsia"/>
          <w:color w:val="auto"/>
          <w:sz w:val="24"/>
          <w:highlight w:val="none"/>
        </w:rPr>
      </w:pPr>
      <w:r>
        <w:rPr>
          <w:rFonts w:eastAsiaTheme="minorEastAsia"/>
          <w:color w:val="auto"/>
          <w:sz w:val="24"/>
          <w:highlight w:val="none"/>
        </w:rPr>
        <w:t xml:space="preserve">    5.1 比选申请人应承担其编制文件与递交文件所涉及的一切费用。不管评比结果如何，比选人对上述费用不负任何责任。</w:t>
      </w:r>
    </w:p>
    <w:p>
      <w:pPr>
        <w:pStyle w:val="2"/>
        <w:spacing w:before="0" w:after="0" w:line="360" w:lineRule="auto"/>
        <w:jc w:val="center"/>
        <w:rPr>
          <w:rFonts w:ascii="Times New Roman" w:hAnsi="Times New Roman" w:eastAsiaTheme="minorEastAsia"/>
          <w:color w:val="auto"/>
          <w:sz w:val="24"/>
          <w:szCs w:val="24"/>
          <w:highlight w:val="none"/>
        </w:rPr>
      </w:pPr>
      <w:bookmarkStart w:id="98" w:name="_Toc15439"/>
      <w:bookmarkStart w:id="99" w:name="_Toc22143"/>
      <w:bookmarkStart w:id="100" w:name="_Toc461525298"/>
      <w:bookmarkStart w:id="101" w:name="_Toc16882"/>
      <w:bookmarkStart w:id="102" w:name="_Toc25256"/>
      <w:bookmarkStart w:id="103" w:name="_Toc17323"/>
      <w:bookmarkStart w:id="104" w:name="_Toc5207"/>
      <w:bookmarkStart w:id="105" w:name="_Toc3066"/>
      <w:bookmarkStart w:id="106" w:name="_Toc8029"/>
      <w:bookmarkStart w:id="107" w:name="_Toc2530"/>
      <w:bookmarkStart w:id="108" w:name="_Toc17725"/>
      <w:bookmarkStart w:id="109" w:name="_Toc18809"/>
      <w:bookmarkStart w:id="110" w:name="_Toc16023"/>
      <w:bookmarkStart w:id="111" w:name="_Toc6541"/>
      <w:bookmarkStart w:id="112" w:name="_Toc26141"/>
      <w:r>
        <w:rPr>
          <w:rFonts w:ascii="Times New Roman" w:hAnsi="Times New Roman" w:eastAsiaTheme="minorEastAsia"/>
          <w:color w:val="auto"/>
          <w:sz w:val="24"/>
          <w:szCs w:val="24"/>
          <w:highlight w:val="none"/>
        </w:rPr>
        <w:t>二、比选文件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6.</w:t>
      </w:r>
      <w:bookmarkStart w:id="113" w:name="_Toc114052419"/>
      <w:bookmarkStart w:id="114" w:name="_Toc114052345"/>
      <w:bookmarkStart w:id="115" w:name="_Toc310318577"/>
      <w:bookmarkStart w:id="116" w:name="_Toc286386839"/>
      <w:r>
        <w:rPr>
          <w:rFonts w:eastAsiaTheme="minorEastAsia"/>
          <w:color w:val="auto"/>
          <w:sz w:val="24"/>
          <w:highlight w:val="none"/>
        </w:rPr>
        <w:t>比选文件的组成</w:t>
      </w:r>
      <w:bookmarkEnd w:id="113"/>
      <w:bookmarkEnd w:id="114"/>
      <w:bookmarkEnd w:id="115"/>
      <w:bookmarkEnd w:id="116"/>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6.1比选文件包括</w:t>
      </w:r>
      <w:r>
        <w:rPr>
          <w:rFonts w:hint="eastAsia" w:eastAsiaTheme="minorEastAsia"/>
          <w:color w:val="auto"/>
          <w:sz w:val="24"/>
          <w:highlight w:val="none"/>
        </w:rPr>
        <w:t>比选公告、</w:t>
      </w:r>
      <w:r>
        <w:rPr>
          <w:rFonts w:eastAsiaTheme="minorEastAsia"/>
          <w:color w:val="auto"/>
          <w:sz w:val="24"/>
          <w:highlight w:val="none"/>
        </w:rPr>
        <w:t>比选须知、合同条款、比选申请文件格式、评比办法。</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6.2比选申请人应认真审阅比选文件中所有的比选文件内容要求。如果比选申请人的比选申请文件不能符合比选文件的要求，责任由比选申请人负责。实质上不响应比选文件要求的比选申请文件将被拒绝。</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7.</w:t>
      </w:r>
      <w:bookmarkStart w:id="117" w:name="_Toc114052420"/>
      <w:bookmarkStart w:id="118" w:name="_Toc286386840"/>
      <w:bookmarkStart w:id="119" w:name="_Toc114052346"/>
      <w:bookmarkStart w:id="120" w:name="_Toc310318578"/>
      <w:r>
        <w:rPr>
          <w:rFonts w:eastAsiaTheme="minorEastAsia"/>
          <w:color w:val="auto"/>
          <w:sz w:val="24"/>
          <w:highlight w:val="none"/>
        </w:rPr>
        <w:t>比选文件的</w:t>
      </w:r>
      <w:bookmarkEnd w:id="117"/>
      <w:bookmarkEnd w:id="118"/>
      <w:bookmarkEnd w:id="119"/>
      <w:bookmarkEnd w:id="120"/>
      <w:r>
        <w:rPr>
          <w:rFonts w:eastAsiaTheme="minorEastAsia"/>
          <w:color w:val="auto"/>
          <w:sz w:val="24"/>
          <w:highlight w:val="none"/>
        </w:rPr>
        <w:t>答疑</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7.1比选申请人在获取比选文件后，若有问题需要澄清，均应在递交文件截止时间 3个工作日前的正常工作时间内，用当面递交或传真书面通知比选人，其他方式为无效。比选人将于递交文件截止时间2天前以书面形式</w:t>
      </w:r>
      <w:r>
        <w:rPr>
          <w:rFonts w:hint="eastAsia" w:eastAsiaTheme="minorEastAsia"/>
          <w:color w:val="auto"/>
          <w:sz w:val="24"/>
          <w:highlight w:val="none"/>
        </w:rPr>
        <w:t>，</w:t>
      </w:r>
      <w:r>
        <w:rPr>
          <w:rFonts w:eastAsiaTheme="minorEastAsia"/>
          <w:color w:val="auto"/>
          <w:sz w:val="24"/>
          <w:highlight w:val="none"/>
        </w:rPr>
        <w:t>在比选人官网发布，予以答复。</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8.</w:t>
      </w:r>
      <w:bookmarkStart w:id="121" w:name="_Toc114052421"/>
      <w:bookmarkStart w:id="122" w:name="_Toc310318579"/>
      <w:bookmarkStart w:id="123" w:name="_Toc114052347"/>
      <w:bookmarkStart w:id="124" w:name="_Toc286386841"/>
      <w:r>
        <w:rPr>
          <w:rFonts w:eastAsiaTheme="minorEastAsia"/>
          <w:color w:val="auto"/>
          <w:sz w:val="24"/>
          <w:highlight w:val="none"/>
        </w:rPr>
        <w:t>比选文件的修改</w:t>
      </w:r>
      <w:bookmarkEnd w:id="121"/>
      <w:bookmarkEnd w:id="122"/>
      <w:bookmarkEnd w:id="123"/>
      <w:bookmarkEnd w:id="124"/>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8.1 在递交文件截止日期前2天，比选人可以采用补充通知的方式修改比选文件。</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8.2 补充通知将以书面形式，在比选人官网发布，补充通知作为比选文件的组成部分，对比选申请人起约束作用。</w:t>
      </w:r>
    </w:p>
    <w:p>
      <w:pPr>
        <w:pStyle w:val="2"/>
        <w:spacing w:before="0" w:after="0" w:line="360" w:lineRule="auto"/>
        <w:jc w:val="center"/>
        <w:rPr>
          <w:rFonts w:ascii="Times New Roman" w:hAnsi="Times New Roman" w:eastAsiaTheme="minorEastAsia"/>
          <w:color w:val="auto"/>
          <w:sz w:val="24"/>
          <w:szCs w:val="24"/>
          <w:highlight w:val="none"/>
        </w:rPr>
      </w:pPr>
      <w:bookmarkStart w:id="125" w:name="_Toc18772"/>
      <w:bookmarkStart w:id="126" w:name="_Toc6395"/>
      <w:bookmarkStart w:id="127" w:name="_Toc9199"/>
      <w:bookmarkStart w:id="128" w:name="_Toc30617"/>
      <w:bookmarkStart w:id="129" w:name="_Toc29216"/>
      <w:bookmarkStart w:id="130" w:name="_Toc10523"/>
      <w:bookmarkStart w:id="131" w:name="_Toc23318"/>
      <w:bookmarkStart w:id="132" w:name="_Toc24574"/>
      <w:bookmarkStart w:id="133" w:name="_Toc26897"/>
      <w:bookmarkStart w:id="134" w:name="_Toc9453"/>
      <w:bookmarkStart w:id="135" w:name="_Toc6662"/>
      <w:bookmarkStart w:id="136" w:name="_Toc9684"/>
      <w:bookmarkStart w:id="137" w:name="_Toc461525299"/>
      <w:bookmarkStart w:id="138" w:name="_Toc8400"/>
      <w:bookmarkStart w:id="139" w:name="_Toc19209"/>
      <w:r>
        <w:rPr>
          <w:rFonts w:ascii="Times New Roman" w:hAnsi="Times New Roman" w:eastAsiaTheme="minorEastAsia"/>
          <w:color w:val="auto"/>
          <w:sz w:val="24"/>
          <w:szCs w:val="24"/>
          <w:highlight w:val="none"/>
        </w:rPr>
        <w:t>三、比选报价说明</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9.</w:t>
      </w:r>
      <w:bookmarkStart w:id="140" w:name="_Toc114052349"/>
      <w:bookmarkStart w:id="141" w:name="_Toc286386843"/>
      <w:bookmarkStart w:id="142" w:name="_Toc114052423"/>
      <w:bookmarkStart w:id="143" w:name="_Toc310318581"/>
      <w:r>
        <w:rPr>
          <w:rFonts w:eastAsiaTheme="minorEastAsia"/>
          <w:color w:val="auto"/>
          <w:sz w:val="24"/>
          <w:highlight w:val="none"/>
        </w:rPr>
        <w:t>比选</w:t>
      </w:r>
      <w:bookmarkEnd w:id="140"/>
      <w:bookmarkEnd w:id="141"/>
      <w:bookmarkEnd w:id="142"/>
      <w:r>
        <w:rPr>
          <w:rFonts w:eastAsiaTheme="minorEastAsia"/>
          <w:color w:val="auto"/>
          <w:sz w:val="24"/>
          <w:highlight w:val="none"/>
        </w:rPr>
        <w:t>报价</w:t>
      </w:r>
      <w:bookmarkEnd w:id="143"/>
    </w:p>
    <w:p>
      <w:pPr>
        <w:spacing w:line="360" w:lineRule="auto"/>
        <w:ind w:right="753" w:firstLine="465"/>
        <w:jc w:val="left"/>
        <w:rPr>
          <w:rFonts w:eastAsiaTheme="minorEastAsia"/>
          <w:color w:val="auto"/>
          <w:sz w:val="24"/>
          <w:highlight w:val="none"/>
        </w:rPr>
      </w:pPr>
      <w:r>
        <w:rPr>
          <w:rFonts w:eastAsiaTheme="minorEastAsia"/>
          <w:color w:val="auto"/>
          <w:sz w:val="24"/>
          <w:highlight w:val="none"/>
        </w:rPr>
        <w:t>9.1申请比选报价见比选须知前附表第7项所述。</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 招标代理服务费及招标控制价编制服务费计费方式：</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9.2.1招标代理服务费=某招标项目的实际中标金额×招标代理服务费收费标准×（1-招标代理服务费比选下浮费率</w:t>
      </w:r>
      <w:r>
        <w:rPr>
          <w:rFonts w:hint="eastAsia" w:eastAsiaTheme="minorEastAsia"/>
          <w:color w:val="auto"/>
          <w:sz w:val="24"/>
          <w:highlight w:val="none"/>
          <w:u w:val="single"/>
        </w:rPr>
        <w:t xml:space="preserve">   </w:t>
      </w:r>
      <w:r>
        <w:rPr>
          <w:rFonts w:hint="eastAsia" w:eastAsiaTheme="minorEastAsia"/>
          <w:color w:val="auto"/>
          <w:sz w:val="24"/>
          <w:highlight w:val="none"/>
        </w:rPr>
        <w:t>%）（</w:t>
      </w:r>
      <w:r>
        <w:rPr>
          <w:rFonts w:eastAsiaTheme="minorEastAsia"/>
          <w:color w:val="auto"/>
          <w:sz w:val="24"/>
          <w:highlight w:val="none"/>
        </w:rPr>
        <w:t>按差额定率累进法</w:t>
      </w:r>
      <w:r>
        <w:rPr>
          <w:rFonts w:hint="eastAsia" w:eastAsiaTheme="minorEastAsia"/>
          <w:color w:val="auto"/>
          <w:sz w:val="24"/>
          <w:highlight w:val="none"/>
        </w:rPr>
        <w:t>计算），服务类型（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9.2.2 招标代理服务收费标准</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tcBorders>
              <w:top w:val="single" w:color="auto" w:sz="4" w:space="0"/>
              <w:left w:val="single" w:color="auto" w:sz="4" w:space="0"/>
              <w:bottom w:val="single" w:color="auto" w:sz="4" w:space="0"/>
              <w:right w:val="single" w:color="auto" w:sz="4" w:space="0"/>
            </w:tcBorders>
          </w:tcPr>
          <w:p>
            <w:pPr>
              <w:widowControl/>
              <w:jc w:val="left"/>
              <w:rPr>
                <w:rFonts w:eastAsiaTheme="minorEastAsia"/>
                <w:color w:val="auto"/>
                <w:kern w:val="0"/>
                <w:sz w:val="24"/>
                <w:highlight w:val="none"/>
              </w:rPr>
            </w:pPr>
            <w:r>
              <w:rPr>
                <w:rFonts w:eastAsiaTheme="minorEastAsia"/>
                <w:color w:val="auto"/>
                <w:kern w:val="0"/>
                <w:sz w:val="24"/>
                <w:highlight w:val="none"/>
              </w:rPr>
              <w:t>　　服务类型</w:t>
            </w:r>
          </w:p>
          <w:p>
            <w:pPr>
              <w:widowControl/>
              <w:jc w:val="left"/>
              <w:rPr>
                <w:rFonts w:eastAsiaTheme="minorEastAsia"/>
                <w:color w:val="auto"/>
                <w:kern w:val="0"/>
                <w:sz w:val="24"/>
                <w:highlight w:val="none"/>
              </w:rPr>
            </w:pPr>
            <w:r>
              <w:rPr>
                <w:rFonts w:eastAsiaTheme="minorEastAsia"/>
                <w:color w:val="auto"/>
                <w:kern w:val="0"/>
                <w:sz w:val="24"/>
                <w:highlight w:val="none"/>
              </w:rPr>
              <w:t>　　费率（%）</w:t>
            </w:r>
          </w:p>
          <w:p>
            <w:pPr>
              <w:widowControl/>
              <w:jc w:val="left"/>
              <w:rPr>
                <w:rFonts w:eastAsiaTheme="minorEastAsia"/>
                <w:color w:val="auto"/>
                <w:kern w:val="0"/>
                <w:sz w:val="24"/>
                <w:highlight w:val="none"/>
              </w:rPr>
            </w:pPr>
            <w:r>
              <w:rPr>
                <w:rFonts w:eastAsiaTheme="minorEastAsia"/>
                <w:color w:val="auto"/>
                <w:kern w:val="0"/>
                <w:sz w:val="24"/>
                <w:highlight w:val="none"/>
              </w:rPr>
              <w:t>　　中标金额（万元）</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货物招标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服务招标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100以下</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100-500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500-1000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0.45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1000-5000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5000-10000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10000-50000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50000-100000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100000-500000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500000-1000000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1000000以上</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r>
    </w:tbl>
    <w:p>
      <w:pPr>
        <w:spacing w:line="360" w:lineRule="auto"/>
        <w:ind w:right="753" w:firstLine="465"/>
        <w:jc w:val="left"/>
        <w:rPr>
          <w:rFonts w:eastAsiaTheme="minorEastAsia"/>
          <w:color w:val="auto"/>
          <w:sz w:val="24"/>
          <w:highlight w:val="none"/>
        </w:rPr>
      </w:pPr>
    </w:p>
    <w:p>
      <w:pPr>
        <w:pStyle w:val="2"/>
        <w:spacing w:before="0" w:after="0" w:line="360" w:lineRule="auto"/>
        <w:jc w:val="center"/>
        <w:rPr>
          <w:rFonts w:ascii="Times New Roman" w:hAnsi="Times New Roman" w:eastAsiaTheme="minorEastAsia"/>
          <w:color w:val="auto"/>
          <w:sz w:val="24"/>
          <w:szCs w:val="24"/>
          <w:highlight w:val="none"/>
        </w:rPr>
      </w:pPr>
      <w:bookmarkStart w:id="144" w:name="_Toc5583"/>
      <w:bookmarkStart w:id="145" w:name="_Toc26723"/>
      <w:bookmarkStart w:id="146" w:name="_Toc23455"/>
      <w:bookmarkStart w:id="147" w:name="_Toc28321"/>
      <w:bookmarkStart w:id="148" w:name="_Toc2346"/>
      <w:bookmarkStart w:id="149" w:name="_Toc17259"/>
      <w:bookmarkStart w:id="150" w:name="_Toc18607"/>
      <w:bookmarkStart w:id="151" w:name="_Toc31461"/>
      <w:bookmarkStart w:id="152" w:name="_Toc11943"/>
      <w:bookmarkStart w:id="153" w:name="_Toc17188"/>
      <w:bookmarkStart w:id="154" w:name="_Toc23191"/>
      <w:bookmarkStart w:id="155" w:name="_Toc25856"/>
      <w:bookmarkStart w:id="156" w:name="_Toc461525300"/>
      <w:bookmarkStart w:id="157" w:name="_Toc25195"/>
      <w:bookmarkStart w:id="158" w:name="_Toc17722"/>
      <w:r>
        <w:rPr>
          <w:rFonts w:ascii="Times New Roman" w:hAnsi="Times New Roman" w:eastAsiaTheme="minorEastAsia"/>
          <w:color w:val="auto"/>
          <w:sz w:val="24"/>
          <w:szCs w:val="24"/>
          <w:highlight w:val="none"/>
        </w:rPr>
        <w:t>四、比选申请文件的编制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10.</w:t>
      </w:r>
      <w:bookmarkStart w:id="159" w:name="_Toc286386845"/>
      <w:bookmarkStart w:id="160" w:name="_Toc310318583"/>
      <w:r>
        <w:rPr>
          <w:rFonts w:eastAsiaTheme="minorEastAsia"/>
          <w:color w:val="auto"/>
          <w:sz w:val="24"/>
          <w:highlight w:val="none"/>
        </w:rPr>
        <w:t>比选申请文件编写注意事项</w:t>
      </w:r>
      <w:bookmarkEnd w:id="159"/>
      <w:bookmarkEnd w:id="160"/>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10.1比选申请人应认真阅读比选文件，按照比选文件的要求编制比选申请文件。如果没有按照比选文件要求提交比选申请文件，没有对比选文件提出的实质性要求和条件作出响应，有可能导致该比选申请文件被拒绝。</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10.2比选文件提出的实质性要求和条件是指本比选项目所涉及的资格条件、价格、服务及其它要求、合同条款等内容。</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10.3比选申请人的比选申请文件所有来往函件统一使用中文</w:t>
      </w:r>
      <w:r>
        <w:rPr>
          <w:rFonts w:hint="eastAsia" w:eastAsiaTheme="minorEastAsia"/>
          <w:color w:val="auto"/>
          <w:sz w:val="24"/>
          <w:highlight w:val="none"/>
        </w:rPr>
        <w:t>（</w:t>
      </w:r>
      <w:r>
        <w:rPr>
          <w:rFonts w:eastAsiaTheme="minorEastAsia"/>
          <w:color w:val="auto"/>
          <w:sz w:val="24"/>
          <w:highlight w:val="none"/>
        </w:rPr>
        <w:t>特别规定除外</w:t>
      </w:r>
      <w:r>
        <w:rPr>
          <w:rFonts w:hint="eastAsia" w:eastAsiaTheme="minorEastAsia"/>
          <w:color w:val="auto"/>
          <w:sz w:val="24"/>
          <w:highlight w:val="none"/>
        </w:rPr>
        <w:t>）</w:t>
      </w:r>
      <w:r>
        <w:rPr>
          <w:rFonts w:eastAsiaTheme="minorEastAsia"/>
          <w:color w:val="auto"/>
          <w:sz w:val="24"/>
          <w:highlight w:val="none"/>
        </w:rPr>
        <w:t>。</w:t>
      </w:r>
    </w:p>
    <w:p>
      <w:pPr>
        <w:spacing w:line="360" w:lineRule="auto"/>
        <w:ind w:right="-21" w:firstLine="480"/>
        <w:jc w:val="left"/>
        <w:rPr>
          <w:rFonts w:eastAsiaTheme="minorEastAsia"/>
          <w:color w:val="auto"/>
          <w:sz w:val="24"/>
          <w:highlight w:val="none"/>
        </w:rPr>
      </w:pPr>
      <w:r>
        <w:rPr>
          <w:rFonts w:eastAsiaTheme="minorEastAsia"/>
          <w:color w:val="auto"/>
          <w:sz w:val="24"/>
          <w:highlight w:val="none"/>
        </w:rPr>
        <w:t>10.4比选申请文件中使用的计量单位除比选文件中有特殊规定外，一律使用法定计量单位。</w:t>
      </w:r>
    </w:p>
    <w:p>
      <w:pPr>
        <w:spacing w:line="360" w:lineRule="auto"/>
        <w:ind w:right="753"/>
        <w:jc w:val="left"/>
        <w:rPr>
          <w:rFonts w:eastAsiaTheme="minorEastAsia"/>
          <w:color w:val="auto"/>
          <w:sz w:val="24"/>
          <w:highlight w:val="none"/>
        </w:rPr>
      </w:pPr>
      <w:bookmarkStart w:id="161" w:name="_Toc310318584"/>
      <w:bookmarkStart w:id="162" w:name="_Toc114052352"/>
      <w:bookmarkStart w:id="163" w:name="_Toc114052426"/>
      <w:bookmarkStart w:id="164" w:name="_Toc286386846"/>
      <w:r>
        <w:rPr>
          <w:rFonts w:eastAsiaTheme="minorEastAsia"/>
          <w:color w:val="auto"/>
          <w:sz w:val="24"/>
          <w:highlight w:val="none"/>
        </w:rPr>
        <w:t xml:space="preserve">    11.比选申请文件的组成</w:t>
      </w:r>
      <w:bookmarkEnd w:id="161"/>
      <w:bookmarkEnd w:id="162"/>
      <w:bookmarkEnd w:id="163"/>
      <w:bookmarkEnd w:id="164"/>
    </w:p>
    <w:p>
      <w:pPr>
        <w:spacing w:line="360" w:lineRule="auto"/>
        <w:ind w:right="5"/>
        <w:jc w:val="left"/>
        <w:rPr>
          <w:rFonts w:eastAsiaTheme="minorEastAsia"/>
          <w:color w:val="auto"/>
          <w:sz w:val="24"/>
          <w:highlight w:val="none"/>
        </w:rPr>
      </w:pPr>
      <w:bookmarkStart w:id="165" w:name="_Toc114052354"/>
      <w:r>
        <w:rPr>
          <w:rFonts w:eastAsiaTheme="minorEastAsia"/>
          <w:color w:val="auto"/>
          <w:sz w:val="24"/>
          <w:highlight w:val="none"/>
        </w:rPr>
        <w:t>比选申请文件由报价部分、资信部分和技术部分</w:t>
      </w:r>
      <w:r>
        <w:rPr>
          <w:rFonts w:hint="eastAsia" w:eastAsiaTheme="minorEastAsia"/>
          <w:color w:val="auto"/>
          <w:sz w:val="24"/>
          <w:highlight w:val="none"/>
        </w:rPr>
        <w:t>三</w:t>
      </w:r>
      <w:r>
        <w:rPr>
          <w:rFonts w:eastAsiaTheme="minorEastAsia"/>
          <w:color w:val="auto"/>
          <w:sz w:val="24"/>
          <w:highlight w:val="none"/>
        </w:rPr>
        <w:t>部分组成，详细要求与部分格式详见第四章。</w:t>
      </w:r>
    </w:p>
    <w:bookmarkEnd w:id="165"/>
    <w:p>
      <w:pPr>
        <w:spacing w:line="360" w:lineRule="auto"/>
        <w:ind w:right="753" w:firstLine="480" w:firstLineChars="200"/>
        <w:jc w:val="left"/>
        <w:rPr>
          <w:rFonts w:eastAsiaTheme="minorEastAsia"/>
          <w:color w:val="auto"/>
          <w:sz w:val="24"/>
          <w:highlight w:val="none"/>
        </w:rPr>
      </w:pPr>
      <w:bookmarkStart w:id="166" w:name="_Hlk526867334"/>
      <w:r>
        <w:rPr>
          <w:rFonts w:eastAsiaTheme="minorEastAsia"/>
          <w:color w:val="auto"/>
          <w:sz w:val="24"/>
          <w:highlight w:val="none"/>
        </w:rPr>
        <w:t>11.</w:t>
      </w:r>
      <w:r>
        <w:rPr>
          <w:rFonts w:hint="eastAsia" w:eastAsiaTheme="minorEastAsia"/>
          <w:color w:val="auto"/>
          <w:sz w:val="24"/>
          <w:highlight w:val="none"/>
        </w:rPr>
        <w:t>1</w:t>
      </w:r>
      <w:r>
        <w:rPr>
          <w:rFonts w:eastAsiaTheme="minorEastAsia"/>
          <w:color w:val="auto"/>
          <w:sz w:val="24"/>
          <w:highlight w:val="none"/>
        </w:rPr>
        <w:t>报价部分主要包括下列内容：</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（1）报价表；</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2</w:t>
      </w:r>
      <w:r>
        <w:rPr>
          <w:rFonts w:eastAsiaTheme="minorEastAsia"/>
          <w:color w:val="auto"/>
          <w:sz w:val="24"/>
          <w:highlight w:val="none"/>
        </w:rPr>
        <w:t>资信部分主要包括下列内容：</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（1）近三年类似项目业绩一览表；</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3</w:t>
      </w:r>
      <w:r>
        <w:rPr>
          <w:rFonts w:eastAsiaTheme="minorEastAsia"/>
          <w:color w:val="auto"/>
          <w:sz w:val="24"/>
          <w:highlight w:val="none"/>
        </w:rPr>
        <w:t>技术部分主要包括下列内容：</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（1）服务方案（格式自拟，由比选申请人自行编写）。</w:t>
      </w:r>
    </w:p>
    <w:bookmarkEnd w:id="166"/>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4</w:t>
      </w:r>
      <w:r>
        <w:rPr>
          <w:rFonts w:eastAsiaTheme="minorEastAsia"/>
          <w:color w:val="auto"/>
          <w:sz w:val="24"/>
          <w:highlight w:val="none"/>
        </w:rPr>
        <w:t>比选申请人需按照比选人提供的比选申请文件格式和顺序编制比选申请文件，但表格可以按同样格式扩展。</w:t>
      </w:r>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5</w:t>
      </w:r>
      <w:r>
        <w:rPr>
          <w:rFonts w:eastAsiaTheme="minorEastAsia"/>
          <w:color w:val="auto"/>
          <w:sz w:val="24"/>
          <w:highlight w:val="none"/>
        </w:rPr>
        <w:t>比选申请文件中所有复印件均需加盖比选申请人公章，按比选文件要求签字、盖章。</w:t>
      </w:r>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6比选申请文件格式要求：</w:t>
      </w:r>
    </w:p>
    <w:p>
      <w:pPr>
        <w:spacing w:line="360" w:lineRule="auto"/>
        <w:ind w:right="147" w:firstLine="480" w:firstLineChars="200"/>
        <w:jc w:val="left"/>
        <w:rPr>
          <w:rFonts w:eastAsiaTheme="minorEastAsia"/>
          <w:color w:val="auto"/>
          <w:sz w:val="24"/>
          <w:highlight w:val="none"/>
        </w:rPr>
      </w:pPr>
      <w:r>
        <w:rPr>
          <w:rFonts w:hint="eastAsia" w:eastAsiaTheme="minorEastAsia"/>
          <w:color w:val="auto"/>
          <w:sz w:val="24"/>
          <w:highlight w:val="none"/>
        </w:rPr>
        <w:t>（1）采用A</w:t>
      </w:r>
      <w:r>
        <w:rPr>
          <w:rFonts w:eastAsiaTheme="minorEastAsia"/>
          <w:color w:val="auto"/>
          <w:sz w:val="24"/>
          <w:highlight w:val="none"/>
        </w:rPr>
        <w:t>4</w:t>
      </w:r>
      <w:r>
        <w:rPr>
          <w:rFonts w:hint="eastAsia" w:eastAsiaTheme="minorEastAsia"/>
          <w:color w:val="auto"/>
          <w:sz w:val="24"/>
          <w:highlight w:val="none"/>
        </w:rPr>
        <w:t>纸张、胶装；</w:t>
      </w:r>
    </w:p>
    <w:p>
      <w:pPr>
        <w:spacing w:line="360" w:lineRule="auto"/>
        <w:ind w:right="147" w:firstLine="480" w:firstLineChars="200"/>
        <w:jc w:val="left"/>
        <w:rPr>
          <w:rFonts w:eastAsiaTheme="minorEastAsia"/>
          <w:color w:val="auto"/>
          <w:sz w:val="24"/>
          <w:highlight w:val="none"/>
        </w:rPr>
      </w:pPr>
      <w:r>
        <w:rPr>
          <w:rFonts w:hint="eastAsia" w:eastAsiaTheme="minorEastAsia"/>
          <w:color w:val="auto"/>
          <w:sz w:val="24"/>
          <w:highlight w:val="none"/>
        </w:rPr>
        <w:t>（2）比选申请文件厚度不超过1厘米，页码不超过</w:t>
      </w:r>
      <w:r>
        <w:rPr>
          <w:rFonts w:eastAsiaTheme="minorEastAsia"/>
          <w:color w:val="auto"/>
          <w:sz w:val="24"/>
          <w:highlight w:val="none"/>
        </w:rPr>
        <w:t>200</w:t>
      </w:r>
      <w:r>
        <w:rPr>
          <w:rFonts w:hint="eastAsia" w:eastAsiaTheme="minorEastAsia"/>
          <w:color w:val="auto"/>
          <w:sz w:val="24"/>
          <w:highlight w:val="none"/>
        </w:rPr>
        <w:t>页。</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12.</w:t>
      </w:r>
      <w:bookmarkStart w:id="167" w:name="_Toc114052427"/>
      <w:bookmarkStart w:id="168" w:name="_Toc114052363"/>
      <w:bookmarkStart w:id="169" w:name="_Toc286386847"/>
      <w:bookmarkStart w:id="170" w:name="_Toc310318585"/>
      <w:r>
        <w:rPr>
          <w:rFonts w:eastAsiaTheme="minorEastAsia"/>
          <w:color w:val="auto"/>
          <w:sz w:val="24"/>
          <w:highlight w:val="none"/>
        </w:rPr>
        <w:t>比选有效期</w:t>
      </w:r>
      <w:bookmarkEnd w:id="167"/>
      <w:bookmarkEnd w:id="168"/>
      <w:bookmarkEnd w:id="169"/>
      <w:bookmarkEnd w:id="170"/>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12.1 比选申请文件在前附表第14</w:t>
      </w:r>
      <w:r>
        <w:rPr>
          <w:rFonts w:hint="eastAsia" w:eastAsiaTheme="minorEastAsia"/>
          <w:color w:val="auto"/>
          <w:sz w:val="24"/>
          <w:highlight w:val="none"/>
        </w:rPr>
        <w:t>项</w:t>
      </w:r>
      <w:r>
        <w:rPr>
          <w:rFonts w:eastAsiaTheme="minorEastAsia"/>
          <w:color w:val="auto"/>
          <w:sz w:val="24"/>
          <w:highlight w:val="none"/>
        </w:rPr>
        <w:t>规定的递交比选申请文件日期之后的</w:t>
      </w:r>
      <w:r>
        <w:rPr>
          <w:rFonts w:hint="eastAsia" w:eastAsiaTheme="minorEastAsia"/>
          <w:color w:val="auto"/>
          <w:sz w:val="24"/>
          <w:highlight w:val="none"/>
        </w:rPr>
        <w:t>270天</w:t>
      </w:r>
      <w:r>
        <w:rPr>
          <w:rFonts w:eastAsiaTheme="minorEastAsia"/>
          <w:color w:val="auto"/>
          <w:sz w:val="24"/>
          <w:highlight w:val="none"/>
        </w:rPr>
        <w:t>内有效。</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13.</w:t>
      </w:r>
      <w:bookmarkStart w:id="171" w:name="_Toc310318588"/>
      <w:bookmarkStart w:id="172" w:name="_Toc286386850"/>
      <w:bookmarkStart w:id="173" w:name="_Toc114052430"/>
      <w:bookmarkStart w:id="174" w:name="_Toc114052366"/>
      <w:r>
        <w:rPr>
          <w:rFonts w:eastAsiaTheme="minorEastAsia"/>
          <w:color w:val="auto"/>
          <w:sz w:val="24"/>
          <w:highlight w:val="none"/>
        </w:rPr>
        <w:t>比选申请文件的份数</w:t>
      </w:r>
      <w:bookmarkEnd w:id="171"/>
      <w:bookmarkEnd w:id="172"/>
      <w:bookmarkEnd w:id="173"/>
      <w:bookmarkEnd w:id="174"/>
      <w:r>
        <w:rPr>
          <w:rFonts w:eastAsiaTheme="minorEastAsia"/>
          <w:color w:val="auto"/>
          <w:sz w:val="24"/>
          <w:highlight w:val="none"/>
        </w:rPr>
        <w:t>和签署</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13.1比选申请人按比选文件规定，编制一份比选申请文件“正本”和</w:t>
      </w:r>
      <w:r>
        <w:rPr>
          <w:rFonts w:hint="eastAsia" w:eastAsiaTheme="minorEastAsia"/>
          <w:color w:val="auto"/>
          <w:sz w:val="24"/>
          <w:highlight w:val="none"/>
        </w:rPr>
        <w:t>二</w:t>
      </w:r>
      <w:r>
        <w:rPr>
          <w:rFonts w:eastAsiaTheme="minorEastAsia"/>
          <w:color w:val="auto"/>
          <w:sz w:val="24"/>
          <w:highlight w:val="none"/>
        </w:rPr>
        <w:t>份比选申请文件“副本”，并标明“比选申请文件正本”和“比选申请文件副本”。比选申请文件正本和副本如有不一致之处，以正本为准。</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13.2比选申请文件正本与副本均应使用不能擦去的黑色墨水打印或书写，装订成册，由比选申请人法定代表人或其授权委托代理人亲自签署或加盖印鉴，并加盖比选申请人单位公章。</w:t>
      </w:r>
      <w:r>
        <w:rPr>
          <w:rFonts w:hint="eastAsia" w:eastAsiaTheme="minorEastAsia"/>
          <w:b/>
          <w:bCs/>
          <w:color w:val="auto"/>
          <w:sz w:val="24"/>
          <w:highlight w:val="none"/>
        </w:rPr>
        <w:t>如是授权委托代理人签字，请注意需附上相应授权委托书，格式自拟</w:t>
      </w:r>
      <w:r>
        <w:rPr>
          <w:rFonts w:hint="eastAsia" w:eastAsiaTheme="minorEastAsia"/>
          <w:color w:val="auto"/>
          <w:sz w:val="24"/>
          <w:highlight w:val="none"/>
        </w:rPr>
        <w:t>。</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13.3全套比选申请文件应无涂改和行间插字，除非这些删改是根据比选人指示进行的；或者是比选申请人造成的必须修改的错误，但修改处应由比选申请文件签字人签字证明，否则修改无效。</w:t>
      </w:r>
    </w:p>
    <w:p>
      <w:pPr>
        <w:pStyle w:val="2"/>
        <w:spacing w:before="0" w:after="0" w:line="360" w:lineRule="auto"/>
        <w:jc w:val="center"/>
        <w:rPr>
          <w:rFonts w:ascii="Times New Roman" w:hAnsi="Times New Roman" w:eastAsiaTheme="minorEastAsia"/>
          <w:color w:val="auto"/>
          <w:sz w:val="24"/>
          <w:szCs w:val="24"/>
          <w:highlight w:val="none"/>
        </w:rPr>
      </w:pPr>
      <w:bookmarkStart w:id="175" w:name="_Toc461525301"/>
      <w:bookmarkStart w:id="176" w:name="_Toc14726"/>
      <w:bookmarkStart w:id="177" w:name="_Toc19276"/>
      <w:bookmarkStart w:id="178" w:name="_Toc15955"/>
      <w:bookmarkStart w:id="179" w:name="_Toc32074"/>
      <w:bookmarkStart w:id="180" w:name="_Toc25460"/>
      <w:bookmarkStart w:id="181" w:name="_Toc31804"/>
      <w:bookmarkStart w:id="182" w:name="_Toc28307"/>
      <w:bookmarkStart w:id="183" w:name="_Toc28652"/>
      <w:bookmarkStart w:id="184" w:name="_Toc16937"/>
      <w:bookmarkStart w:id="185" w:name="_Toc23101"/>
      <w:bookmarkStart w:id="186" w:name="_Toc7291"/>
      <w:bookmarkStart w:id="187" w:name="_Toc23604"/>
      <w:bookmarkStart w:id="188" w:name="_Toc11391"/>
      <w:bookmarkStart w:id="189" w:name="_Toc2153"/>
      <w:r>
        <w:rPr>
          <w:rFonts w:ascii="Times New Roman" w:hAnsi="Times New Roman" w:eastAsiaTheme="minorEastAsia"/>
          <w:color w:val="auto"/>
          <w:sz w:val="24"/>
          <w:szCs w:val="24"/>
          <w:highlight w:val="none"/>
        </w:rPr>
        <w:t>五、比选申请文件的递交</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.比选申请文件的密封与标志</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.1比选申请文件装订要求：比选申请文件中报价部分、资信部分和技术部分装订到一本中。</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.2密封袋封口处都应加盖比选申请人公章或粘贴加盖公章的密封条，若密封袋没有加盖公章或破损严重，有可能导致比选人的拒收。</w:t>
      </w:r>
    </w:p>
    <w:p>
      <w:pPr>
        <w:spacing w:line="360" w:lineRule="auto"/>
        <w:ind w:right="30" w:firstLine="480" w:firstLineChars="200"/>
        <w:jc w:val="left"/>
        <w:rPr>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.3比选申请文件递交至前附表第13项所述的单位和地址</w:t>
      </w:r>
      <w:r>
        <w:rPr>
          <w:color w:val="auto"/>
          <w:kern w:val="0"/>
          <w:sz w:val="24"/>
          <w:highlight w:val="none"/>
          <w:shd w:val="clear" w:color="auto" w:fill="FFFFFF"/>
          <w:lang w:bidi="ar"/>
        </w:rPr>
        <w:t>，逾期送达的</w:t>
      </w:r>
      <w:r>
        <w:rPr>
          <w:rFonts w:hint="eastAsia"/>
          <w:color w:val="auto"/>
          <w:kern w:val="0"/>
          <w:sz w:val="24"/>
          <w:highlight w:val="none"/>
          <w:shd w:val="clear" w:color="auto" w:fill="FFFFFF"/>
          <w:lang w:bidi="ar"/>
        </w:rPr>
        <w:t>比选申请</w:t>
      </w:r>
      <w:r>
        <w:rPr>
          <w:color w:val="auto"/>
          <w:kern w:val="0"/>
          <w:sz w:val="24"/>
          <w:highlight w:val="none"/>
          <w:shd w:val="clear" w:color="auto" w:fill="FFFFFF"/>
          <w:lang w:bidi="ar"/>
        </w:rPr>
        <w:t>文件无效，后果由</w:t>
      </w:r>
      <w:r>
        <w:rPr>
          <w:rFonts w:hint="eastAsia"/>
          <w:color w:val="auto"/>
          <w:kern w:val="0"/>
          <w:sz w:val="24"/>
          <w:highlight w:val="none"/>
          <w:shd w:val="clear" w:color="auto" w:fill="FFFFFF"/>
          <w:lang w:bidi="ar"/>
        </w:rPr>
        <w:t>比选申请人</w:t>
      </w:r>
      <w:r>
        <w:rPr>
          <w:color w:val="auto"/>
          <w:kern w:val="0"/>
          <w:sz w:val="24"/>
          <w:highlight w:val="none"/>
          <w:shd w:val="clear" w:color="auto" w:fill="FFFFFF"/>
          <w:lang w:bidi="ar"/>
        </w:rPr>
        <w:t>自行承担</w:t>
      </w:r>
      <w:r>
        <w:rPr>
          <w:rFonts w:hint="eastAsia"/>
          <w:color w:val="auto"/>
          <w:kern w:val="0"/>
          <w:sz w:val="24"/>
          <w:highlight w:val="none"/>
          <w:shd w:val="clear" w:color="auto" w:fill="FFFFFF"/>
          <w:lang w:bidi="ar"/>
        </w:rPr>
        <w:t>。</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5</w:t>
      </w:r>
      <w:r>
        <w:rPr>
          <w:rFonts w:eastAsiaTheme="minorEastAsia"/>
          <w:color w:val="auto"/>
          <w:sz w:val="24"/>
          <w:highlight w:val="none"/>
        </w:rPr>
        <w:t>.递交比选文件截止期</w:t>
      </w:r>
    </w:p>
    <w:p>
      <w:pPr>
        <w:spacing w:line="360" w:lineRule="auto"/>
        <w:ind w:right="-21" w:firstLine="48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5</w:t>
      </w:r>
      <w:r>
        <w:rPr>
          <w:rFonts w:eastAsiaTheme="minorEastAsia"/>
          <w:color w:val="auto"/>
          <w:sz w:val="24"/>
          <w:highlight w:val="none"/>
        </w:rPr>
        <w:t>.1</w:t>
      </w:r>
      <w:r>
        <w:rPr>
          <w:rFonts w:hint="eastAsia" w:eastAsiaTheme="minorEastAsia"/>
          <w:color w:val="auto"/>
          <w:sz w:val="24"/>
          <w:highlight w:val="none"/>
        </w:rPr>
        <w:t>根据新冠肺炎疫情防控要求，比选申请人无需到场参加</w:t>
      </w:r>
      <w:r>
        <w:rPr>
          <w:rFonts w:eastAsiaTheme="minorEastAsia"/>
          <w:color w:val="auto"/>
          <w:sz w:val="24"/>
          <w:highlight w:val="none"/>
        </w:rPr>
        <w:t>评比会议</w:t>
      </w:r>
      <w:r>
        <w:rPr>
          <w:rFonts w:hint="eastAsia" w:eastAsiaTheme="minorEastAsia"/>
          <w:color w:val="auto"/>
          <w:sz w:val="24"/>
          <w:highlight w:val="none"/>
        </w:rPr>
        <w:t>。</w:t>
      </w:r>
      <w:r>
        <w:rPr>
          <w:rFonts w:eastAsiaTheme="minorEastAsia"/>
          <w:color w:val="auto"/>
          <w:sz w:val="24"/>
          <w:highlight w:val="none"/>
        </w:rPr>
        <w:t>比选申请人应在前附表第14项所述规定的时间，将比选申请文件递交至前附表第1</w:t>
      </w:r>
      <w:r>
        <w:rPr>
          <w:rFonts w:hint="eastAsia" w:eastAsiaTheme="minorEastAsia"/>
          <w:color w:val="auto"/>
          <w:sz w:val="24"/>
          <w:highlight w:val="none"/>
        </w:rPr>
        <w:t>3</w:t>
      </w:r>
      <w:r>
        <w:rPr>
          <w:rFonts w:eastAsiaTheme="minorEastAsia"/>
          <w:color w:val="auto"/>
          <w:sz w:val="24"/>
          <w:highlight w:val="none"/>
        </w:rPr>
        <w:t>项所述的单位和地址</w:t>
      </w:r>
      <w:r>
        <w:rPr>
          <w:rFonts w:hint="eastAsia" w:eastAsiaTheme="minorEastAsia"/>
          <w:color w:val="auto"/>
          <w:sz w:val="24"/>
          <w:highlight w:val="none"/>
        </w:rPr>
        <w:t>，即可离去</w:t>
      </w:r>
      <w:r>
        <w:rPr>
          <w:rFonts w:eastAsiaTheme="minorEastAsia"/>
          <w:color w:val="auto"/>
          <w:sz w:val="24"/>
          <w:highlight w:val="none"/>
        </w:rPr>
        <w:t>。</w:t>
      </w:r>
    </w:p>
    <w:p>
      <w:pPr>
        <w:pStyle w:val="2"/>
        <w:spacing w:before="0" w:after="0" w:line="360" w:lineRule="auto"/>
        <w:jc w:val="center"/>
        <w:rPr>
          <w:rFonts w:ascii="Times New Roman" w:hAnsi="Times New Roman" w:eastAsiaTheme="minorEastAsia"/>
          <w:color w:val="auto"/>
          <w:sz w:val="24"/>
          <w:szCs w:val="24"/>
          <w:highlight w:val="none"/>
        </w:rPr>
      </w:pPr>
      <w:bookmarkStart w:id="190" w:name="_Toc29047"/>
      <w:bookmarkStart w:id="191" w:name="_Toc32687"/>
      <w:bookmarkStart w:id="192" w:name="_Toc20601"/>
      <w:bookmarkStart w:id="193" w:name="_Toc31034"/>
      <w:bookmarkStart w:id="194" w:name="_Toc1057"/>
      <w:bookmarkStart w:id="195" w:name="_Toc461525302"/>
      <w:bookmarkStart w:id="196" w:name="_Toc31139"/>
      <w:bookmarkStart w:id="197" w:name="_Toc22118"/>
      <w:bookmarkStart w:id="198" w:name="_Toc17217"/>
      <w:bookmarkStart w:id="199" w:name="_Toc8107"/>
      <w:bookmarkStart w:id="200" w:name="_Toc6376"/>
      <w:bookmarkStart w:id="201" w:name="_Toc27095"/>
      <w:bookmarkStart w:id="202" w:name="_Toc24246"/>
      <w:bookmarkStart w:id="203" w:name="_Toc20356"/>
      <w:bookmarkStart w:id="204" w:name="_Toc30232"/>
      <w:r>
        <w:rPr>
          <w:rFonts w:ascii="Times New Roman" w:hAnsi="Times New Roman" w:eastAsiaTheme="minorEastAsia"/>
          <w:color w:val="auto"/>
          <w:sz w:val="24"/>
          <w:szCs w:val="24"/>
          <w:highlight w:val="none"/>
        </w:rPr>
        <w:t>六、评</w:t>
      </w:r>
      <w:bookmarkEnd w:id="190"/>
      <w:bookmarkEnd w:id="191"/>
      <w:bookmarkEnd w:id="192"/>
      <w:r>
        <w:rPr>
          <w:rFonts w:ascii="Times New Roman" w:hAnsi="Times New Roman" w:eastAsiaTheme="minorEastAsia"/>
          <w:color w:val="auto"/>
          <w:sz w:val="24"/>
          <w:szCs w:val="24"/>
          <w:highlight w:val="none"/>
        </w:rPr>
        <w:t>比</w:t>
      </w:r>
      <w:bookmarkEnd w:id="193"/>
      <w:bookmarkEnd w:id="194"/>
      <w:bookmarkEnd w:id="195"/>
      <w:bookmarkEnd w:id="196"/>
      <w:bookmarkEnd w:id="197"/>
      <w:bookmarkEnd w:id="198"/>
      <w:bookmarkEnd w:id="199"/>
      <w:bookmarkEnd w:id="200"/>
      <w:bookmarkEnd w:id="201"/>
      <w:bookmarkEnd w:id="202"/>
      <w:bookmarkEnd w:id="203"/>
      <w:bookmarkEnd w:id="204"/>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17.评比办法</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17.1详见第五章</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18确定中选人</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18.1评比委员会根据综合评分按由高到低的顺序进行排序，并在评审报告中依次推荐排序前一至三名为中选候选人。如果有2个或2个以上的比选申请人综合评分相同，则报价得分较高的排名靠前；如报价得分也相同，则资信部分得分较高的排名靠前；如资信部分得分也相同，则技术部分得分较高的排名靠前，如技术部分得分也相同，则由</w:t>
      </w:r>
      <w:r>
        <w:rPr>
          <w:rFonts w:hint="eastAsia" w:eastAsiaTheme="minorEastAsia"/>
          <w:color w:val="auto"/>
          <w:sz w:val="24"/>
          <w:highlight w:val="none"/>
        </w:rPr>
        <w:t>评比委员会</w:t>
      </w:r>
      <w:r>
        <w:rPr>
          <w:rFonts w:eastAsiaTheme="minorEastAsia"/>
          <w:color w:val="auto"/>
          <w:sz w:val="24"/>
          <w:highlight w:val="none"/>
        </w:rPr>
        <w:t>采用随机抽取的方式确定排名顺序。</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18.2如排名第一的中选候选人放弃中选或因不可抗力提出不能履行合同的，可以确定排名第二的中选候选人为中选人；如排名第二的中选候选人仍放弃中选或因不可抗力提出不能履行合同的，可以确定排名第三的中选候选人为中选人</w:t>
      </w:r>
      <w:r>
        <w:rPr>
          <w:rFonts w:hint="eastAsia" w:eastAsiaTheme="minorEastAsia"/>
          <w:color w:val="auto"/>
          <w:sz w:val="24"/>
          <w:highlight w:val="none"/>
        </w:rPr>
        <w:t>，比选人也可以重新比选</w:t>
      </w:r>
      <w:r>
        <w:rPr>
          <w:rFonts w:eastAsiaTheme="minorEastAsia"/>
          <w:color w:val="auto"/>
          <w:sz w:val="24"/>
          <w:highlight w:val="none"/>
        </w:rPr>
        <w:t>。</w:t>
      </w:r>
    </w:p>
    <w:p>
      <w:pPr>
        <w:spacing w:line="360" w:lineRule="auto"/>
        <w:ind w:right="753" w:firstLine="480" w:firstLineChars="200"/>
        <w:jc w:val="left"/>
        <w:rPr>
          <w:rFonts w:eastAsiaTheme="minorEastAsia"/>
          <w:color w:val="auto"/>
          <w:sz w:val="24"/>
          <w:highlight w:val="none"/>
        </w:rPr>
      </w:pPr>
      <w:bookmarkStart w:id="205" w:name="_Toc114052441"/>
      <w:bookmarkStart w:id="206" w:name="_Toc114052377"/>
      <w:bookmarkStart w:id="207" w:name="_Toc286386861"/>
      <w:bookmarkStart w:id="208" w:name="_Toc310318599"/>
      <w:r>
        <w:rPr>
          <w:rFonts w:eastAsiaTheme="minorEastAsia"/>
          <w:color w:val="auto"/>
          <w:sz w:val="24"/>
          <w:highlight w:val="none"/>
        </w:rPr>
        <w:t>19.评比结果公示</w:t>
      </w:r>
      <w:bookmarkEnd w:id="205"/>
      <w:bookmarkEnd w:id="206"/>
      <w:bookmarkEnd w:id="207"/>
      <w:bookmarkEnd w:id="208"/>
    </w:p>
    <w:p>
      <w:pPr>
        <w:spacing w:line="360" w:lineRule="auto"/>
        <w:ind w:right="-21" w:firstLine="480" w:firstLineChars="200"/>
        <w:jc w:val="left"/>
        <w:rPr>
          <w:rFonts w:eastAsiaTheme="minorEastAsia"/>
          <w:color w:val="auto"/>
          <w:sz w:val="24"/>
          <w:highlight w:val="none"/>
        </w:rPr>
      </w:pPr>
      <w:r>
        <w:rPr>
          <w:rFonts w:eastAsiaTheme="minorEastAsia"/>
          <w:sz w:val="24"/>
          <w:highlight w:val="none"/>
        </w:rPr>
        <w:t>19.1在评比结束后，比选人将</w:t>
      </w:r>
      <w:r>
        <w:rPr>
          <w:rFonts w:hint="eastAsia" w:eastAsiaTheme="minorEastAsia"/>
          <w:sz w:val="24"/>
          <w:highlight w:val="none"/>
        </w:rPr>
        <w:t>自行通知中标单位评比结果，以收到中标通知书为准</w:t>
      </w:r>
      <w:r>
        <w:rPr>
          <w:rFonts w:eastAsiaTheme="minorEastAsia"/>
          <w:sz w:val="24"/>
          <w:highlight w:val="none"/>
        </w:rPr>
        <w:t>。</w:t>
      </w:r>
      <w:r>
        <w:rPr>
          <w:rFonts w:hint="eastAsia" w:eastAsiaTheme="minorEastAsia"/>
          <w:sz w:val="24"/>
          <w:highlight w:val="none"/>
        </w:rPr>
        <w:t>未接到通知的则未中标。</w:t>
      </w:r>
    </w:p>
    <w:p>
      <w:pPr>
        <w:pStyle w:val="2"/>
        <w:spacing w:before="0" w:after="0" w:line="360" w:lineRule="auto"/>
        <w:jc w:val="center"/>
        <w:rPr>
          <w:rFonts w:ascii="Times New Roman" w:hAnsi="Times New Roman" w:eastAsiaTheme="minorEastAsia"/>
          <w:color w:val="auto"/>
          <w:sz w:val="24"/>
          <w:szCs w:val="24"/>
          <w:highlight w:val="none"/>
        </w:rPr>
      </w:pPr>
      <w:bookmarkStart w:id="209" w:name="_Toc23892"/>
      <w:bookmarkStart w:id="210" w:name="_Toc8363"/>
      <w:bookmarkStart w:id="211" w:name="_Toc24316"/>
      <w:bookmarkStart w:id="212" w:name="_Toc6141"/>
      <w:bookmarkStart w:id="213" w:name="_Toc16935"/>
      <w:bookmarkStart w:id="214" w:name="_Toc16746"/>
      <w:bookmarkStart w:id="215" w:name="_Toc24212"/>
      <w:bookmarkStart w:id="216" w:name="_Toc30023"/>
      <w:bookmarkStart w:id="217" w:name="_Toc529"/>
      <w:bookmarkStart w:id="218" w:name="_Toc17996"/>
      <w:bookmarkStart w:id="219" w:name="_Toc14798"/>
      <w:bookmarkStart w:id="220" w:name="_Toc19549"/>
      <w:bookmarkStart w:id="221" w:name="_Toc12010"/>
      <w:bookmarkStart w:id="222" w:name="_Toc461525303"/>
      <w:bookmarkStart w:id="223" w:name="_Toc20403"/>
      <w:r>
        <w:rPr>
          <w:rFonts w:ascii="Times New Roman" w:hAnsi="Times New Roman" w:eastAsiaTheme="minorEastAsia"/>
          <w:color w:val="auto"/>
          <w:sz w:val="24"/>
          <w:szCs w:val="24"/>
          <w:highlight w:val="none"/>
        </w:rPr>
        <w:t>七、授予合同</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20.中选通知书</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20.1比选人将向中选人发出中选通知书。</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20.2比选人无义务向落选的比选申请人解释落选原因和退还比选申请文件。</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20.3中选通知书作为合同的组成部分。</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21.合同的签署</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21.1中选人应按中选通知书中的相关要求，由中选人法定代表人或其授权代表前往比选人处与比选人进行签订合同。</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21.2中选人如放弃中选资格，则比选人有权将其列入不良行为记录名单、两年内禁止其参加比选人发起的任何比选活动。</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21.3中选人被废除中选资格后，比选人有权将标的授予后续中选候选人。</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w:t>
      </w:r>
      <w:r>
        <w:rPr>
          <w:rFonts w:hint="eastAsia" w:eastAsiaTheme="minorEastAsia"/>
          <w:color w:val="auto"/>
          <w:sz w:val="24"/>
          <w:highlight w:val="none"/>
        </w:rPr>
        <w:t>4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参与。</w:t>
      </w:r>
    </w:p>
    <w:p>
      <w:pPr>
        <w:pStyle w:val="3"/>
        <w:spacing w:before="0" w:after="0" w:line="360" w:lineRule="auto"/>
        <w:rPr>
          <w:rFonts w:eastAsiaTheme="minorEastAsia"/>
          <w:color w:val="auto"/>
          <w:sz w:val="24"/>
          <w:szCs w:val="24"/>
          <w:highlight w:val="none"/>
        </w:rPr>
      </w:pPr>
      <w:r>
        <w:rPr>
          <w:rFonts w:eastAsiaTheme="minorEastAsia"/>
          <w:color w:val="auto"/>
          <w:sz w:val="21"/>
          <w:szCs w:val="21"/>
          <w:highlight w:val="none"/>
        </w:rPr>
        <w:br w:type="page"/>
      </w:r>
      <w:bookmarkStart w:id="224" w:name="_Toc10784"/>
      <w:bookmarkStart w:id="225" w:name="_Toc4769"/>
      <w:bookmarkStart w:id="226" w:name="_Toc31070"/>
      <w:bookmarkStart w:id="227" w:name="_Toc1354"/>
      <w:bookmarkStart w:id="228" w:name="_Toc18010"/>
      <w:bookmarkStart w:id="229" w:name="_Toc21358"/>
      <w:bookmarkStart w:id="230" w:name="_Toc2960"/>
      <w:bookmarkStart w:id="231" w:name="_Toc16062"/>
      <w:bookmarkStart w:id="232" w:name="_Toc5964"/>
      <w:bookmarkStart w:id="233" w:name="_Toc21670"/>
      <w:bookmarkStart w:id="234" w:name="_Toc12854"/>
      <w:bookmarkStart w:id="235" w:name="_Toc461525304"/>
      <w:bookmarkStart w:id="236" w:name="_Toc7234"/>
      <w:bookmarkStart w:id="237" w:name="_Toc333307121"/>
      <w:r>
        <w:rPr>
          <w:rFonts w:eastAsiaTheme="minorEastAsia"/>
          <w:color w:val="auto"/>
          <w:szCs w:val="28"/>
          <w:highlight w:val="none"/>
        </w:rPr>
        <w:t>第三章合同条款</w:t>
      </w:r>
      <w:bookmarkEnd w:id="224"/>
      <w:bookmarkEnd w:id="225"/>
      <w:bookmarkEnd w:id="226"/>
      <w:bookmarkEnd w:id="227"/>
      <w:bookmarkEnd w:id="228"/>
      <w:bookmarkEnd w:id="229"/>
      <w:bookmarkEnd w:id="230"/>
      <w:bookmarkEnd w:id="231"/>
      <w:bookmarkEnd w:id="232"/>
      <w:bookmarkEnd w:id="233"/>
      <w:bookmarkEnd w:id="234"/>
      <w:bookmarkEnd w:id="235"/>
    </w:p>
    <w:p>
      <w:pPr>
        <w:pStyle w:val="2"/>
        <w:spacing w:before="0" w:after="0" w:line="360" w:lineRule="auto"/>
        <w:jc w:val="center"/>
        <w:rPr>
          <w:rFonts w:ascii="Times New Roman" w:hAnsi="Times New Roman" w:eastAsiaTheme="minorEastAsia"/>
          <w:color w:val="auto"/>
          <w:szCs w:val="28"/>
          <w:highlight w:val="none"/>
        </w:rPr>
      </w:pPr>
      <w:bookmarkStart w:id="238" w:name="_Toc5447"/>
      <w:bookmarkStart w:id="239" w:name="_Toc32308"/>
      <w:r>
        <w:rPr>
          <w:rFonts w:ascii="Times New Roman" w:hAnsi="Times New Roman" w:eastAsiaTheme="minorEastAsia"/>
          <w:color w:val="auto"/>
          <w:szCs w:val="28"/>
          <w:highlight w:val="none"/>
        </w:rPr>
        <w:t>工程建设项目招标代理协议书</w:t>
      </w:r>
      <w:bookmarkEnd w:id="238"/>
      <w:bookmarkEnd w:id="239"/>
    </w:p>
    <w:p>
      <w:pPr>
        <w:spacing w:line="360" w:lineRule="auto"/>
        <w:ind w:firstLine="480" w:firstLineChars="200"/>
        <w:rPr>
          <w:rFonts w:hint="eastAsia" w:eastAsiaTheme="minorEastAsia"/>
          <w:color w:val="auto"/>
          <w:sz w:val="24"/>
          <w:highlight w:val="none"/>
          <w:u w:val="single"/>
          <w:lang w:val="en-US" w:eastAsia="zh-CN"/>
        </w:rPr>
      </w:pPr>
      <w:r>
        <w:rPr>
          <w:rFonts w:eastAsiaTheme="minorEastAsia"/>
          <w:color w:val="auto"/>
          <w:sz w:val="24"/>
          <w:highlight w:val="none"/>
        </w:rPr>
        <w:t>委托人：</w:t>
      </w:r>
      <w:r>
        <w:rPr>
          <w:rFonts w:hint="eastAsia" w:eastAsiaTheme="minorEastAsia"/>
          <w:color w:val="auto"/>
          <w:sz w:val="24"/>
          <w:highlight w:val="none"/>
          <w:u w:val="single"/>
        </w:rPr>
        <w:t xml:space="preserve"> </w:t>
      </w:r>
      <w:r>
        <w:rPr>
          <w:rFonts w:hint="eastAsia" w:eastAsiaTheme="minorEastAsia"/>
          <w:color w:val="auto"/>
          <w:sz w:val="24"/>
          <w:highlight w:val="none"/>
          <w:u w:val="single"/>
          <w:lang w:val="en-US" w:eastAsia="zh-CN"/>
        </w:rPr>
        <w:t xml:space="preserve"> </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受托人：</w:t>
      </w:r>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依照《中华人民共和国合同法》、《中华人民共和国招标投标法》及国家的有关法律、行政法规，遵循平等、自愿、公平和诚实信用的原则</w:t>
      </w:r>
      <w:r>
        <w:rPr>
          <w:rFonts w:hint="eastAsia" w:eastAsiaTheme="minorEastAsia"/>
          <w:color w:val="auto"/>
          <w:sz w:val="24"/>
          <w:highlight w:val="none"/>
        </w:rPr>
        <w:t>，双方就招标代理事项协商一致，订立本合同。</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一、委托人委托受托人为项目的招标代理机构，承担本项目的</w:t>
      </w:r>
      <w:r>
        <w:rPr>
          <w:rFonts w:hint="eastAsia" w:eastAsiaTheme="minorEastAsia"/>
          <w:color w:val="auto"/>
          <w:sz w:val="24"/>
          <w:highlight w:val="none"/>
          <w:u w:val="single"/>
        </w:rPr>
        <w:t>招标</w:t>
      </w:r>
      <w:r>
        <w:rPr>
          <w:rFonts w:eastAsiaTheme="minorEastAsia"/>
          <w:color w:val="auto"/>
          <w:sz w:val="24"/>
          <w:highlight w:val="none"/>
          <w:u w:val="single"/>
        </w:rPr>
        <w:t>代理</w:t>
      </w:r>
      <w:r>
        <w:rPr>
          <w:rFonts w:eastAsiaTheme="minorEastAsia"/>
          <w:color w:val="auto"/>
          <w:sz w:val="24"/>
          <w:highlight w:val="none"/>
        </w:rPr>
        <w:t>工作。</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二、服务范围：</w:t>
      </w:r>
      <w:r>
        <w:rPr>
          <w:rFonts w:hint="eastAsia" w:eastAsiaTheme="minorEastAsia"/>
          <w:color w:val="auto"/>
          <w:sz w:val="24"/>
          <w:highlight w:val="none"/>
          <w:u w:val="single"/>
        </w:rPr>
        <w:t xml:space="preserve">          </w:t>
      </w:r>
      <w:r>
        <w:rPr>
          <w:rFonts w:eastAsiaTheme="minorEastAsia"/>
          <w:color w:val="auto"/>
          <w:sz w:val="24"/>
          <w:highlight w:val="none"/>
        </w:rPr>
        <w:t>的</w:t>
      </w:r>
      <w:r>
        <w:rPr>
          <w:rFonts w:eastAsiaTheme="minorEastAsia"/>
          <w:color w:val="auto"/>
          <w:sz w:val="24"/>
          <w:highlight w:val="none"/>
          <w:u w:val="single"/>
        </w:rPr>
        <w:t>招标代理</w:t>
      </w:r>
      <w:r>
        <w:rPr>
          <w:rFonts w:hint="eastAsia" w:eastAsiaTheme="minorEastAsia"/>
          <w:color w:val="auto"/>
          <w:sz w:val="24"/>
          <w:highlight w:val="none"/>
          <w:u w:val="single"/>
        </w:rPr>
        <w:t>工作</w:t>
      </w:r>
      <w:r>
        <w:rPr>
          <w:rFonts w:eastAsiaTheme="minorEastAsia"/>
          <w:color w:val="auto"/>
          <w:sz w:val="24"/>
          <w:highlight w:val="none"/>
        </w:rPr>
        <w:t>。</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标段划分：标段划分以实际招标情况为准。</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三、合同价款</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1、招标代理服务费：</w:t>
      </w:r>
      <w:r>
        <w:rPr>
          <w:rFonts w:hint="eastAsia" w:eastAsiaTheme="minorEastAsia"/>
          <w:color w:val="auto"/>
          <w:sz w:val="24"/>
          <w:highlight w:val="none"/>
          <w:u w:val="single"/>
        </w:rPr>
        <w:t>参照</w:t>
      </w:r>
      <w:r>
        <w:rPr>
          <w:rFonts w:eastAsiaTheme="minorEastAsia"/>
          <w:color w:val="auto"/>
          <w:sz w:val="24"/>
          <w:highlight w:val="none"/>
          <w:u w:val="single"/>
        </w:rPr>
        <w:t>国家发展改革委《关于降低部分建设项目收费标准规范收费行为等有关问题的通知》（发改价格[2011]534号）规定</w:t>
      </w:r>
      <w:r>
        <w:rPr>
          <w:rFonts w:hint="eastAsia" w:eastAsiaTheme="minorEastAsia"/>
          <w:color w:val="auto"/>
          <w:sz w:val="24"/>
          <w:highlight w:val="none"/>
          <w:u w:val="single"/>
        </w:rPr>
        <w:t>。招标代理服务费=各项目的实际中标金额×招标代理服务费收费标准×（1-招标代理服务费比选下浮费率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hint="eastAsia" w:eastAsiaTheme="minorEastAsia"/>
          <w:color w:val="auto"/>
          <w:sz w:val="24"/>
          <w:highlight w:val="none"/>
          <w:u w:val="single"/>
        </w:rPr>
        <w:t>2、招标控制价编制服务费（如有）：招标控制价编制服务费=某招标项目的实际中标金额×招标代理服务费收费标准×（1-招标控制价编制服务费比选下浮费率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hint="eastAsia" w:eastAsiaTheme="minorEastAsia"/>
          <w:color w:val="auto"/>
          <w:sz w:val="24"/>
          <w:highlight w:val="none"/>
        </w:rPr>
        <w:t>3、</w:t>
      </w:r>
      <w:r>
        <w:rPr>
          <w:color w:val="auto"/>
          <w:sz w:val="24"/>
          <w:highlight w:val="none"/>
        </w:rPr>
        <w:t>若有</w:t>
      </w:r>
      <w:r>
        <w:rPr>
          <w:rFonts w:hint="eastAsia" w:eastAsiaTheme="minorEastAsia"/>
          <w:color w:val="auto"/>
          <w:sz w:val="24"/>
          <w:highlight w:val="none"/>
        </w:rPr>
        <w:t>项目因流标</w:t>
      </w:r>
      <w:r>
        <w:rPr>
          <w:color w:val="auto"/>
          <w:sz w:val="24"/>
          <w:highlight w:val="none"/>
        </w:rPr>
        <w:t>改为直接委托时，该标段的招标代理服务费</w:t>
      </w:r>
      <w:r>
        <w:rPr>
          <w:rFonts w:hint="eastAsia" w:eastAsiaTheme="minorEastAsia"/>
          <w:color w:val="auto"/>
          <w:sz w:val="24"/>
          <w:highlight w:val="none"/>
        </w:rPr>
        <w:t>和招标控制价编制服务费（如有）</w:t>
      </w:r>
      <w:r>
        <w:rPr>
          <w:color w:val="auto"/>
          <w:sz w:val="24"/>
          <w:highlight w:val="none"/>
        </w:rPr>
        <w:t>以所对应标段的合同金额为计算基数，按前述费用计算方式计取。</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u w:val="single"/>
        </w:rPr>
        <w:t>本项目招标代理服务费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暂定</w:t>
      </w:r>
      <w:r>
        <w:rPr>
          <w:rFonts w:hint="eastAsia"/>
          <w:color w:val="auto"/>
          <w:sz w:val="24"/>
          <w:highlight w:val="none"/>
          <w:u w:val="single"/>
        </w:rPr>
        <w:t>不含税价为（大写）                    （¥       ），增值税税率为     ，税额为¥       ，含税总价为（大写）    （¥      ）</w:t>
      </w:r>
      <w:r>
        <w:rPr>
          <w:rFonts w:hint="eastAsia" w:eastAsiaTheme="minorEastAsia"/>
          <w:color w:val="auto"/>
          <w:sz w:val="24"/>
          <w:highlight w:val="none"/>
          <w:u w:val="single"/>
        </w:rPr>
        <w:t>，</w:t>
      </w:r>
      <w:r>
        <w:rPr>
          <w:rFonts w:eastAsiaTheme="minorEastAsia"/>
          <w:color w:val="auto"/>
          <w:sz w:val="24"/>
          <w:highlight w:val="none"/>
          <w:u w:val="single"/>
        </w:rPr>
        <w:t>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分别以本项目委托范围内的各标段中标金额为计算基数，按差额定率累进法，分别计算各标段招标代理服务费。</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四、组成本合同的文件：</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1、本合同履行过程中双方以书面形式签署的补充和修正文件；</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2、本合同协议书：</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3、本合同专用条款；</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4、本合同通用条款。</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五、本协议书中的有关词语定义与本合同第一部分《通用条款》中分别赋予它们的定义相同。</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六、受托人向委托人承诺，按照本合同的约定，承担本合同专用条款中约定范围内的代理业务。</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七、委托人向受托人承诺，按照本合同的约定，确保代理报酬的支付。</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八、合同订立</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合同订立时间：</w:t>
      </w:r>
      <w:r>
        <w:rPr>
          <w:rFonts w:hint="eastAsia" w:eastAsiaTheme="minorEastAsia"/>
          <w:color w:val="auto"/>
          <w:sz w:val="24"/>
          <w:highlight w:val="none"/>
        </w:rPr>
        <w:t xml:space="preserve">   </w:t>
      </w:r>
      <w:r>
        <w:rPr>
          <w:rFonts w:eastAsiaTheme="minorEastAsia"/>
          <w:color w:val="auto"/>
          <w:sz w:val="24"/>
          <w:highlight w:val="none"/>
        </w:rPr>
        <w:t>年</w:t>
      </w:r>
      <w:r>
        <w:rPr>
          <w:rFonts w:hint="eastAsia" w:eastAsiaTheme="minorEastAsia"/>
          <w:color w:val="auto"/>
          <w:sz w:val="24"/>
          <w:highlight w:val="none"/>
        </w:rPr>
        <w:t xml:space="preserve">   </w:t>
      </w:r>
      <w:r>
        <w:rPr>
          <w:rFonts w:eastAsiaTheme="minorEastAsia"/>
          <w:color w:val="auto"/>
          <w:sz w:val="24"/>
          <w:highlight w:val="none"/>
        </w:rPr>
        <w:t>月</w:t>
      </w:r>
      <w:r>
        <w:rPr>
          <w:rFonts w:hint="eastAsia" w:eastAsiaTheme="minorEastAsia"/>
          <w:color w:val="auto"/>
          <w:sz w:val="24"/>
          <w:highlight w:val="none"/>
        </w:rPr>
        <w:t xml:space="preserve">   </w:t>
      </w:r>
      <w:r>
        <w:rPr>
          <w:rFonts w:eastAsiaTheme="minorEastAsia"/>
          <w:color w:val="auto"/>
          <w:sz w:val="24"/>
          <w:highlight w:val="none"/>
        </w:rPr>
        <w:t>日</w:t>
      </w:r>
    </w:p>
    <w:p>
      <w:pPr>
        <w:spacing w:line="360" w:lineRule="auto"/>
        <w:ind w:left="315" w:leftChars="150" w:firstLine="216" w:firstLineChars="90"/>
        <w:jc w:val="left"/>
        <w:rPr>
          <w:rFonts w:eastAsiaTheme="minorEastAsia"/>
          <w:color w:val="auto"/>
          <w:sz w:val="24"/>
          <w:highlight w:val="none"/>
        </w:rPr>
      </w:pPr>
      <w:r>
        <w:rPr>
          <w:rFonts w:eastAsiaTheme="minorEastAsia"/>
          <w:color w:val="auto"/>
          <w:sz w:val="24"/>
          <w:highlight w:val="none"/>
        </w:rPr>
        <w:t>合同订立地点：</w:t>
      </w:r>
      <w:r>
        <w:rPr>
          <w:rFonts w:hint="eastAsia" w:eastAsiaTheme="minorEastAsia"/>
          <w:color w:val="auto"/>
          <w:sz w:val="24"/>
          <w:highlight w:val="none"/>
          <w:u w:val="single"/>
        </w:rPr>
        <w:t>桂林</w:t>
      </w:r>
      <w:r>
        <w:rPr>
          <w:rFonts w:eastAsiaTheme="minorEastAsia"/>
          <w:color w:val="auto"/>
          <w:sz w:val="24"/>
          <w:highlight w:val="none"/>
          <w:u w:val="single"/>
        </w:rPr>
        <w:t>市</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九、合同生效</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本合同双方约定</w:t>
      </w:r>
      <w:r>
        <w:rPr>
          <w:rFonts w:eastAsiaTheme="minorEastAsia"/>
          <w:color w:val="auto"/>
          <w:sz w:val="24"/>
          <w:highlight w:val="none"/>
          <w:u w:val="single"/>
        </w:rPr>
        <w:t>合同签字盖章</w:t>
      </w:r>
      <w:r>
        <w:rPr>
          <w:rFonts w:eastAsiaTheme="minorEastAsia"/>
          <w:color w:val="auto"/>
          <w:sz w:val="24"/>
          <w:highlight w:val="none"/>
        </w:rPr>
        <w:t>后生效</w:t>
      </w:r>
    </w:p>
    <w:p>
      <w:pPr>
        <w:spacing w:line="360" w:lineRule="auto"/>
        <w:rPr>
          <w:rFonts w:eastAsiaTheme="minorEastAsia"/>
          <w:color w:val="auto"/>
          <w:sz w:val="24"/>
          <w:highlight w:val="none"/>
        </w:rPr>
      </w:pPr>
      <w:r>
        <w:rPr>
          <w:rFonts w:eastAsiaTheme="minorEastAsia"/>
          <w:color w:val="auto"/>
          <w:sz w:val="24"/>
          <w:highlight w:val="none"/>
        </w:rPr>
        <w:br w:type="page"/>
      </w:r>
      <w:r>
        <w:rPr>
          <w:rFonts w:eastAsiaTheme="minorEastAsia"/>
          <w:color w:val="auto"/>
          <w:sz w:val="24"/>
          <w:highlight w:val="none"/>
        </w:rPr>
        <w:t>（此页无正文）</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委托人(盖章)：</w:t>
      </w:r>
      <w:r>
        <w:rPr>
          <w:rFonts w:hint="eastAsia" w:eastAsiaTheme="minorEastAsia"/>
          <w:color w:val="auto"/>
          <w:sz w:val="24"/>
          <w:highlight w:val="none"/>
        </w:rPr>
        <w:t xml:space="preserve">                        </w:t>
      </w:r>
      <w:r>
        <w:rPr>
          <w:rFonts w:eastAsiaTheme="minorEastAsia"/>
          <w:color w:val="auto"/>
          <w:sz w:val="24"/>
          <w:highlight w:val="none"/>
        </w:rPr>
        <w:t>受托人(盖章)：</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法定代表人(签字或盖章)：</w:t>
      </w:r>
      <w:r>
        <w:rPr>
          <w:rFonts w:hint="eastAsia" w:eastAsiaTheme="minorEastAsia"/>
          <w:color w:val="auto"/>
          <w:sz w:val="24"/>
          <w:highlight w:val="none"/>
        </w:rPr>
        <w:t xml:space="preserve">              </w:t>
      </w:r>
      <w:r>
        <w:rPr>
          <w:rFonts w:eastAsiaTheme="minorEastAsia"/>
          <w:color w:val="auto"/>
          <w:sz w:val="24"/>
          <w:highlight w:val="none"/>
        </w:rPr>
        <w:t>法定代表人(签字或盖章)：</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授权代理人(签字或盖章)：</w:t>
      </w:r>
      <w:r>
        <w:rPr>
          <w:rFonts w:hint="eastAsia" w:eastAsiaTheme="minorEastAsia"/>
          <w:color w:val="auto"/>
          <w:sz w:val="24"/>
          <w:highlight w:val="none"/>
        </w:rPr>
        <w:t xml:space="preserve">              </w:t>
      </w:r>
      <w:r>
        <w:rPr>
          <w:rFonts w:eastAsiaTheme="minorEastAsia"/>
          <w:color w:val="auto"/>
          <w:sz w:val="24"/>
          <w:highlight w:val="none"/>
        </w:rPr>
        <w:t>代理人(签字或盖章)：</w:t>
      </w:r>
    </w:p>
    <w:p>
      <w:pPr>
        <w:spacing w:line="360" w:lineRule="auto"/>
        <w:ind w:left="1200" w:hanging="1200" w:hangingChars="500"/>
        <w:jc w:val="left"/>
        <w:rPr>
          <w:rFonts w:eastAsiaTheme="minorEastAsia"/>
          <w:color w:val="auto"/>
          <w:sz w:val="24"/>
          <w:highlight w:val="none"/>
        </w:rPr>
      </w:pPr>
    </w:p>
    <w:p>
      <w:pPr>
        <w:spacing w:line="360" w:lineRule="auto"/>
        <w:ind w:left="1200" w:hanging="1200" w:hangingChars="500"/>
        <w:jc w:val="left"/>
        <w:rPr>
          <w:rFonts w:eastAsiaTheme="minorEastAsia"/>
          <w:color w:val="auto"/>
          <w:sz w:val="24"/>
          <w:highlight w:val="none"/>
        </w:rPr>
      </w:pPr>
      <w:r>
        <w:rPr>
          <w:rFonts w:eastAsiaTheme="minorEastAsia"/>
          <w:color w:val="auto"/>
          <w:sz w:val="24"/>
          <w:highlight w:val="none"/>
        </w:rPr>
        <w:t>单位地址：</w:t>
      </w:r>
      <w:r>
        <w:rPr>
          <w:rFonts w:hint="eastAsia" w:eastAsiaTheme="minorEastAsia"/>
          <w:color w:val="auto"/>
          <w:sz w:val="24"/>
          <w:highlight w:val="none"/>
        </w:rPr>
        <w:t xml:space="preserve">                            </w:t>
      </w:r>
      <w:r>
        <w:rPr>
          <w:rFonts w:eastAsiaTheme="minorEastAsia"/>
          <w:color w:val="auto"/>
          <w:sz w:val="24"/>
          <w:highlight w:val="none"/>
        </w:rPr>
        <w:t xml:space="preserve">地址: </w:t>
      </w:r>
    </w:p>
    <w:p>
      <w:pPr>
        <w:spacing w:line="360" w:lineRule="auto"/>
        <w:jc w:val="left"/>
        <w:rPr>
          <w:rFonts w:eastAsiaTheme="minorEastAsia"/>
          <w:color w:val="auto"/>
          <w:sz w:val="24"/>
          <w:highlight w:val="none"/>
        </w:rPr>
      </w:pPr>
      <w:r>
        <w:rPr>
          <w:rFonts w:eastAsiaTheme="minorEastAsia"/>
          <w:color w:val="auto"/>
          <w:sz w:val="24"/>
          <w:highlight w:val="none"/>
        </w:rPr>
        <w:t xml:space="preserve">邮政编码：               </w:t>
      </w:r>
      <w:r>
        <w:rPr>
          <w:rFonts w:hint="eastAsia" w:eastAsiaTheme="minorEastAsia"/>
          <w:color w:val="auto"/>
          <w:sz w:val="24"/>
          <w:highlight w:val="none"/>
        </w:rPr>
        <w:t xml:space="preserve">             </w:t>
      </w:r>
      <w:r>
        <w:rPr>
          <w:rFonts w:eastAsiaTheme="minorEastAsia"/>
          <w:color w:val="auto"/>
          <w:sz w:val="24"/>
          <w:highlight w:val="none"/>
        </w:rPr>
        <w:t>邮政编码：</w:t>
      </w:r>
    </w:p>
    <w:p>
      <w:pPr>
        <w:spacing w:line="360" w:lineRule="auto"/>
        <w:rPr>
          <w:rFonts w:eastAsiaTheme="minorEastAsia"/>
          <w:color w:val="auto"/>
          <w:sz w:val="24"/>
          <w:highlight w:val="none"/>
        </w:rPr>
      </w:pPr>
      <w:r>
        <w:rPr>
          <w:rFonts w:eastAsiaTheme="minorEastAsia"/>
          <w:color w:val="auto"/>
          <w:sz w:val="24"/>
          <w:highlight w:val="none"/>
        </w:rPr>
        <w:t>联系电话：</w:t>
      </w:r>
      <w:r>
        <w:rPr>
          <w:rFonts w:hint="eastAsia" w:eastAsiaTheme="minorEastAsia"/>
          <w:color w:val="auto"/>
          <w:sz w:val="24"/>
          <w:highlight w:val="none"/>
        </w:rPr>
        <w:t xml:space="preserve">                            </w:t>
      </w:r>
      <w:r>
        <w:rPr>
          <w:rFonts w:eastAsiaTheme="minorEastAsia"/>
          <w:color w:val="auto"/>
          <w:sz w:val="24"/>
          <w:highlight w:val="none"/>
        </w:rPr>
        <w:t>联系电话：</w:t>
      </w:r>
    </w:p>
    <w:p>
      <w:pPr>
        <w:spacing w:line="360" w:lineRule="auto"/>
        <w:rPr>
          <w:rFonts w:eastAsiaTheme="minorEastAsia"/>
          <w:color w:val="auto"/>
          <w:sz w:val="24"/>
          <w:highlight w:val="none"/>
        </w:rPr>
      </w:pPr>
      <w:r>
        <w:rPr>
          <w:rFonts w:eastAsiaTheme="minorEastAsia"/>
          <w:color w:val="auto"/>
          <w:sz w:val="24"/>
          <w:highlight w:val="none"/>
        </w:rPr>
        <w:t>传真：</w:t>
      </w:r>
      <w:r>
        <w:rPr>
          <w:rFonts w:hint="eastAsia" w:eastAsiaTheme="minorEastAsia"/>
          <w:color w:val="auto"/>
          <w:sz w:val="24"/>
          <w:highlight w:val="none"/>
        </w:rPr>
        <w:t xml:space="preserve">                                </w:t>
      </w:r>
      <w:r>
        <w:rPr>
          <w:rFonts w:eastAsiaTheme="minorEastAsia"/>
          <w:color w:val="auto"/>
          <w:sz w:val="24"/>
          <w:highlight w:val="none"/>
        </w:rPr>
        <w:t>传真：</w:t>
      </w:r>
    </w:p>
    <w:p>
      <w:pPr>
        <w:spacing w:line="360" w:lineRule="auto"/>
        <w:rPr>
          <w:rFonts w:eastAsiaTheme="minorEastAsia"/>
          <w:color w:val="auto"/>
          <w:sz w:val="24"/>
          <w:highlight w:val="none"/>
        </w:rPr>
      </w:pPr>
      <w:r>
        <w:rPr>
          <w:rFonts w:eastAsiaTheme="minorEastAsia"/>
          <w:color w:val="auto"/>
          <w:sz w:val="24"/>
          <w:highlight w:val="none"/>
        </w:rPr>
        <w:t>电子信箱：</w:t>
      </w:r>
      <w:r>
        <w:rPr>
          <w:rFonts w:hint="eastAsia" w:eastAsiaTheme="minorEastAsia"/>
          <w:color w:val="auto"/>
          <w:sz w:val="24"/>
          <w:highlight w:val="none"/>
        </w:rPr>
        <w:t xml:space="preserve">                            </w:t>
      </w:r>
      <w:r>
        <w:rPr>
          <w:rFonts w:eastAsiaTheme="minorEastAsia"/>
          <w:color w:val="auto"/>
          <w:sz w:val="24"/>
          <w:highlight w:val="none"/>
        </w:rPr>
        <w:t>电子信箱：</w:t>
      </w:r>
    </w:p>
    <w:p>
      <w:pPr>
        <w:spacing w:line="360" w:lineRule="auto"/>
        <w:rPr>
          <w:rFonts w:eastAsiaTheme="minorEastAsia"/>
          <w:color w:val="auto"/>
          <w:sz w:val="24"/>
          <w:highlight w:val="none"/>
        </w:rPr>
      </w:pPr>
      <w:r>
        <w:rPr>
          <w:rFonts w:eastAsiaTheme="minorEastAsia"/>
          <w:color w:val="auto"/>
          <w:sz w:val="24"/>
          <w:highlight w:val="none"/>
        </w:rPr>
        <w:t>开户银行：</w:t>
      </w:r>
      <w:r>
        <w:rPr>
          <w:rFonts w:hint="eastAsia" w:eastAsiaTheme="minorEastAsia"/>
          <w:color w:val="auto"/>
          <w:sz w:val="24"/>
          <w:highlight w:val="none"/>
        </w:rPr>
        <w:t xml:space="preserve">                            </w:t>
      </w:r>
      <w:r>
        <w:rPr>
          <w:rFonts w:eastAsiaTheme="minorEastAsia"/>
          <w:color w:val="auto"/>
          <w:sz w:val="24"/>
          <w:highlight w:val="none"/>
        </w:rPr>
        <w:t>开户银行：</w:t>
      </w:r>
    </w:p>
    <w:p>
      <w:pPr>
        <w:spacing w:line="360" w:lineRule="auto"/>
        <w:rPr>
          <w:rFonts w:eastAsiaTheme="minorEastAsia"/>
          <w:color w:val="auto"/>
          <w:sz w:val="24"/>
          <w:highlight w:val="none"/>
        </w:rPr>
      </w:pPr>
      <w:r>
        <w:rPr>
          <w:rFonts w:eastAsiaTheme="minorEastAsia"/>
          <w:color w:val="auto"/>
          <w:sz w:val="24"/>
          <w:highlight w:val="none"/>
        </w:rPr>
        <w:t>帐号：</w:t>
      </w:r>
      <w:r>
        <w:rPr>
          <w:rFonts w:hint="eastAsia" w:eastAsiaTheme="minorEastAsia"/>
          <w:color w:val="auto"/>
          <w:sz w:val="24"/>
          <w:highlight w:val="none"/>
        </w:rPr>
        <w:t xml:space="preserve">                                </w:t>
      </w:r>
      <w:r>
        <w:rPr>
          <w:rFonts w:eastAsiaTheme="minorEastAsia"/>
          <w:color w:val="auto"/>
          <w:sz w:val="24"/>
          <w:highlight w:val="none"/>
        </w:rPr>
        <w:t>帐号：</w:t>
      </w:r>
    </w:p>
    <w:p>
      <w:pPr>
        <w:spacing w:line="360" w:lineRule="auto"/>
        <w:rPr>
          <w:rFonts w:eastAsiaTheme="minorEastAsia"/>
          <w:b/>
          <w:color w:val="auto"/>
          <w:sz w:val="24"/>
          <w:highlight w:val="none"/>
        </w:rPr>
      </w:pPr>
    </w:p>
    <w:p>
      <w:pPr>
        <w:pStyle w:val="2"/>
        <w:spacing w:before="0" w:after="0" w:line="360" w:lineRule="auto"/>
        <w:jc w:val="center"/>
        <w:rPr>
          <w:rFonts w:ascii="Times New Roman" w:hAnsi="Times New Roman" w:eastAsiaTheme="minorEastAsia"/>
          <w:b/>
          <w:color w:val="auto"/>
          <w:sz w:val="24"/>
          <w:szCs w:val="24"/>
          <w:highlight w:val="none"/>
        </w:rPr>
      </w:pPr>
      <w:r>
        <w:rPr>
          <w:rFonts w:ascii="Times New Roman" w:hAnsi="Times New Roman" w:eastAsiaTheme="minorEastAsia"/>
          <w:b/>
          <w:color w:val="auto"/>
          <w:sz w:val="24"/>
          <w:szCs w:val="24"/>
          <w:highlight w:val="none"/>
        </w:rPr>
        <w:br w:type="page"/>
      </w:r>
      <w:bookmarkStart w:id="240" w:name="_Toc13075"/>
      <w:bookmarkStart w:id="241" w:name="_Toc7339"/>
      <w:r>
        <w:rPr>
          <w:rFonts w:ascii="Times New Roman" w:hAnsi="Times New Roman" w:eastAsiaTheme="minorEastAsia"/>
          <w:color w:val="auto"/>
          <w:sz w:val="24"/>
          <w:szCs w:val="24"/>
          <w:highlight w:val="none"/>
        </w:rPr>
        <w:t>第一部分通用条款</w:t>
      </w:r>
      <w:bookmarkEnd w:id="240"/>
      <w:bookmarkEnd w:id="241"/>
    </w:p>
    <w:p>
      <w:pPr>
        <w:spacing w:line="360" w:lineRule="auto"/>
        <w:rPr>
          <w:rFonts w:eastAsiaTheme="minorEastAsia"/>
          <w:color w:val="auto"/>
          <w:sz w:val="24"/>
          <w:highlight w:val="none"/>
        </w:rPr>
      </w:pPr>
      <w:r>
        <w:rPr>
          <w:rFonts w:eastAsiaTheme="minorEastAsia"/>
          <w:color w:val="auto"/>
          <w:sz w:val="24"/>
          <w:highlight w:val="none"/>
        </w:rPr>
        <w:t>一、词语定义和适用法律</w:t>
      </w:r>
    </w:p>
    <w:p>
      <w:pPr>
        <w:spacing w:line="360" w:lineRule="auto"/>
        <w:rPr>
          <w:rFonts w:eastAsiaTheme="minorEastAsia"/>
          <w:color w:val="auto"/>
          <w:sz w:val="24"/>
          <w:highlight w:val="none"/>
        </w:rPr>
      </w:pPr>
      <w:r>
        <w:rPr>
          <w:rFonts w:eastAsiaTheme="minorEastAsia"/>
          <w:color w:val="auto"/>
          <w:sz w:val="24"/>
          <w:highlight w:val="none"/>
        </w:rPr>
        <w:t>l、词语定义</w:t>
      </w:r>
    </w:p>
    <w:p>
      <w:pPr>
        <w:spacing w:line="360" w:lineRule="auto"/>
        <w:rPr>
          <w:rFonts w:eastAsiaTheme="minorEastAsia"/>
          <w:color w:val="auto"/>
          <w:sz w:val="24"/>
          <w:highlight w:val="none"/>
        </w:rPr>
      </w:pPr>
      <w:r>
        <w:rPr>
          <w:rFonts w:eastAsiaTheme="minorEastAsia"/>
          <w:color w:val="auto"/>
          <w:sz w:val="24"/>
          <w:highlight w:val="none"/>
        </w:rPr>
        <w:t>下列词语除本合同专用条款另有约定外，应具有本条款所赋予的定义</w:t>
      </w:r>
    </w:p>
    <w:p>
      <w:pPr>
        <w:spacing w:line="360" w:lineRule="auto"/>
        <w:rPr>
          <w:rFonts w:eastAsiaTheme="minorEastAsia"/>
          <w:color w:val="auto"/>
          <w:sz w:val="24"/>
          <w:highlight w:val="none"/>
        </w:rPr>
      </w:pPr>
      <w:r>
        <w:rPr>
          <w:rFonts w:eastAsiaTheme="minorEastAsia"/>
          <w:color w:val="auto"/>
          <w:sz w:val="24"/>
          <w:highlight w:val="none"/>
        </w:rPr>
        <w:t>1.1招标代理合同：委托人将工程建设项目招标工作委托给具有相应招标代理资质的受托人，实施招标活动签订的委托合同。</w:t>
      </w:r>
    </w:p>
    <w:p>
      <w:pPr>
        <w:spacing w:line="360" w:lineRule="auto"/>
        <w:rPr>
          <w:rFonts w:eastAsiaTheme="minorEastAsia"/>
          <w:color w:val="auto"/>
          <w:sz w:val="24"/>
          <w:highlight w:val="none"/>
        </w:rPr>
      </w:pPr>
      <w:r>
        <w:rPr>
          <w:rFonts w:eastAsiaTheme="minorEastAsia"/>
          <w:color w:val="auto"/>
          <w:sz w:val="24"/>
          <w:highlight w:val="none"/>
        </w:rPr>
        <w:t>1.2通用条款：是根据有关法律、行政法规和工程建设项目招标代理的需要所订立，通用于各类工程建设项目招标代理的条款。</w:t>
      </w:r>
    </w:p>
    <w:p>
      <w:pPr>
        <w:spacing w:line="360" w:lineRule="auto"/>
        <w:rPr>
          <w:rFonts w:eastAsiaTheme="minorEastAsia"/>
          <w:color w:val="auto"/>
          <w:sz w:val="24"/>
          <w:highlight w:val="none"/>
        </w:rPr>
      </w:pPr>
      <w:r>
        <w:rPr>
          <w:rFonts w:eastAsiaTheme="minorEastAsia"/>
          <w:color w:val="auto"/>
          <w:sz w:val="24"/>
          <w:highlight w:val="none"/>
        </w:rPr>
        <w:t>1.3专用条款：是委托人与受托人根据有关法律、行政法规规定，结合具体工程建设项目招标代理的实际，经协商达成一致意见的条款，是对通用条款的具体化、补充或修改。</w:t>
      </w:r>
    </w:p>
    <w:p>
      <w:pPr>
        <w:spacing w:line="360" w:lineRule="auto"/>
        <w:rPr>
          <w:rFonts w:eastAsiaTheme="minorEastAsia"/>
          <w:color w:val="auto"/>
          <w:sz w:val="24"/>
          <w:highlight w:val="none"/>
        </w:rPr>
      </w:pPr>
      <w:r>
        <w:rPr>
          <w:rFonts w:eastAsiaTheme="minorEastAsia"/>
          <w:color w:val="auto"/>
          <w:sz w:val="24"/>
          <w:highlight w:val="none"/>
        </w:rPr>
        <w:t>1.4委托人：指在合同中约定的，具有建设项目招标委托主体资格的当事人，以及取得该当事人资格的合法继承人。</w:t>
      </w:r>
    </w:p>
    <w:p>
      <w:pPr>
        <w:spacing w:line="360" w:lineRule="auto"/>
        <w:rPr>
          <w:rFonts w:eastAsiaTheme="minorEastAsia"/>
          <w:color w:val="auto"/>
          <w:sz w:val="24"/>
          <w:highlight w:val="none"/>
        </w:rPr>
      </w:pPr>
      <w:r>
        <w:rPr>
          <w:rFonts w:eastAsiaTheme="minorEastAsia"/>
          <w:color w:val="auto"/>
          <w:sz w:val="24"/>
          <w:highlight w:val="none"/>
        </w:rPr>
        <w:t>1.5受托人：指在合同中约定的，被委托人接受的具有建设项目招标代理主体资格的当事人，以及取得该当事人资格的合法继承人。</w:t>
      </w:r>
    </w:p>
    <w:p>
      <w:pPr>
        <w:spacing w:line="360" w:lineRule="auto"/>
        <w:rPr>
          <w:rFonts w:eastAsiaTheme="minorEastAsia"/>
          <w:color w:val="auto"/>
          <w:sz w:val="24"/>
          <w:highlight w:val="none"/>
        </w:rPr>
      </w:pPr>
      <w:r>
        <w:rPr>
          <w:rFonts w:eastAsiaTheme="minorEastAsia"/>
          <w:color w:val="auto"/>
          <w:sz w:val="24"/>
          <w:highlight w:val="none"/>
        </w:rPr>
        <w:t>1.6招标代理项目负责人：指受托人在专用条款中指定的负责合同履行的代表。</w:t>
      </w:r>
    </w:p>
    <w:p>
      <w:pPr>
        <w:spacing w:line="360" w:lineRule="auto"/>
        <w:rPr>
          <w:rFonts w:eastAsiaTheme="minorEastAsia"/>
          <w:color w:val="auto"/>
          <w:sz w:val="24"/>
          <w:highlight w:val="none"/>
        </w:rPr>
      </w:pPr>
      <w:r>
        <w:rPr>
          <w:rFonts w:eastAsiaTheme="minorEastAsia"/>
          <w:color w:val="auto"/>
          <w:sz w:val="24"/>
          <w:highlight w:val="none"/>
        </w:rPr>
        <w:t>1.7工程建设项目：指由委托人和受托人在合同中约定的委托代理招标的工程。</w:t>
      </w:r>
    </w:p>
    <w:p>
      <w:pPr>
        <w:spacing w:line="360" w:lineRule="auto"/>
        <w:rPr>
          <w:rFonts w:eastAsiaTheme="minorEastAsia"/>
          <w:color w:val="auto"/>
          <w:sz w:val="24"/>
          <w:highlight w:val="none"/>
        </w:rPr>
      </w:pPr>
      <w:r>
        <w:rPr>
          <w:rFonts w:eastAsiaTheme="minorEastAsia"/>
          <w:color w:val="auto"/>
          <w:sz w:val="24"/>
          <w:highlight w:val="none"/>
        </w:rPr>
        <w:t>1.8招标代理业务：委托人委托受托人代理实施工程建设项目招标的工作内容。</w:t>
      </w:r>
    </w:p>
    <w:p>
      <w:pPr>
        <w:spacing w:line="360" w:lineRule="auto"/>
        <w:rPr>
          <w:rFonts w:eastAsiaTheme="minorEastAsia"/>
          <w:color w:val="auto"/>
          <w:sz w:val="24"/>
          <w:highlight w:val="none"/>
        </w:rPr>
      </w:pPr>
      <w:r>
        <w:rPr>
          <w:rFonts w:eastAsiaTheme="minorEastAsia"/>
          <w:color w:val="auto"/>
          <w:sz w:val="24"/>
          <w:highlight w:val="none"/>
        </w:rPr>
        <w:t>1.9附加服务：指委托人和受托人在本合同通用条款4.1款和专用条款4.1款中双方约定工作范围之外的附加工作。</w:t>
      </w:r>
    </w:p>
    <w:p>
      <w:pPr>
        <w:spacing w:line="360" w:lineRule="auto"/>
        <w:rPr>
          <w:rFonts w:eastAsiaTheme="minorEastAsia"/>
          <w:color w:val="auto"/>
          <w:sz w:val="24"/>
          <w:highlight w:val="none"/>
        </w:rPr>
      </w:pPr>
      <w:r>
        <w:rPr>
          <w:rFonts w:eastAsiaTheme="minorEastAsia"/>
          <w:color w:val="auto"/>
          <w:sz w:val="24"/>
          <w:highlight w:val="none"/>
        </w:rPr>
        <w:t>1.10代理报酬：委托人和受托人在合同中约定的，受托人按照约定应收取的代理报酬总额。</w:t>
      </w:r>
    </w:p>
    <w:p>
      <w:pPr>
        <w:spacing w:line="360" w:lineRule="auto"/>
        <w:rPr>
          <w:rFonts w:eastAsiaTheme="minorEastAsia"/>
          <w:color w:val="auto"/>
          <w:sz w:val="24"/>
          <w:highlight w:val="none"/>
        </w:rPr>
      </w:pPr>
      <w:r>
        <w:rPr>
          <w:rFonts w:eastAsiaTheme="minorEastAsia"/>
          <w:color w:val="auto"/>
          <w:sz w:val="24"/>
          <w:highlight w:val="none"/>
        </w:rPr>
        <w:t>1.11图纸：指由委托人提供的满足招标需要的所有图纸、计算书、配套说明以及相关的技术资料。</w:t>
      </w:r>
    </w:p>
    <w:p>
      <w:pPr>
        <w:spacing w:line="360" w:lineRule="auto"/>
        <w:rPr>
          <w:rFonts w:eastAsiaTheme="minorEastAsia"/>
          <w:color w:val="auto"/>
          <w:sz w:val="24"/>
          <w:highlight w:val="none"/>
        </w:rPr>
      </w:pPr>
      <w:r>
        <w:rPr>
          <w:rFonts w:eastAsiaTheme="minorEastAsia"/>
          <w:color w:val="auto"/>
          <w:sz w:val="24"/>
          <w:highlight w:val="none"/>
        </w:rPr>
        <w:t>1.12书面形式：指具有公章、法定代表人或授权代理人签字的合同书、信件和数据电文(包括电报、电传、传真)等可以有形地表现所载内容的形式。</w:t>
      </w:r>
    </w:p>
    <w:p>
      <w:pPr>
        <w:spacing w:line="360" w:lineRule="auto"/>
        <w:rPr>
          <w:rFonts w:eastAsiaTheme="minorEastAsia"/>
          <w:color w:val="auto"/>
          <w:sz w:val="24"/>
          <w:highlight w:val="none"/>
        </w:rPr>
      </w:pPr>
      <w:r>
        <w:rPr>
          <w:rFonts w:eastAsiaTheme="minorEastAsia"/>
          <w:color w:val="auto"/>
          <w:sz w:val="24"/>
          <w:highlight w:val="none"/>
        </w:rPr>
        <w:t>1.13违约责任：指合同一方不履行合同义务或履行合同义务不符合约定所应承担的责任。</w:t>
      </w:r>
    </w:p>
    <w:p>
      <w:pPr>
        <w:spacing w:line="360" w:lineRule="auto"/>
        <w:rPr>
          <w:rFonts w:eastAsiaTheme="minorEastAsia"/>
          <w:color w:val="auto"/>
          <w:sz w:val="24"/>
          <w:highlight w:val="none"/>
        </w:rPr>
      </w:pPr>
      <w:r>
        <w:rPr>
          <w:rFonts w:eastAsiaTheme="minorEastAsia"/>
          <w:color w:val="auto"/>
          <w:sz w:val="24"/>
          <w:highlight w:val="none"/>
        </w:rPr>
        <w:t>1.14索赔：指在合同履行过程中，对于并非自己的过错，而是应由对方承担责任的情况造成的实际损失，向对方提出经济补偿或其他的要求。</w:t>
      </w:r>
    </w:p>
    <w:p>
      <w:pPr>
        <w:spacing w:line="360" w:lineRule="auto"/>
        <w:rPr>
          <w:rFonts w:eastAsiaTheme="minorEastAsia"/>
          <w:color w:val="auto"/>
          <w:sz w:val="24"/>
          <w:highlight w:val="none"/>
        </w:rPr>
      </w:pPr>
      <w:r>
        <w:rPr>
          <w:rFonts w:eastAsiaTheme="minorEastAsia"/>
          <w:color w:val="auto"/>
          <w:sz w:val="24"/>
          <w:highlight w:val="none"/>
        </w:rPr>
        <w:t>1.15不可抗力：指双方无法控制和不可预见的事件，但不包括双方的违约或疏忽。这些事件包括但不限于战争、严重火灾、洪水、台风、地震，或其他双方一致认为属于不可抗力的事件。</w:t>
      </w:r>
    </w:p>
    <w:p>
      <w:pPr>
        <w:spacing w:line="360" w:lineRule="auto"/>
        <w:rPr>
          <w:rFonts w:eastAsiaTheme="minorEastAsia"/>
          <w:color w:val="auto"/>
          <w:sz w:val="24"/>
          <w:highlight w:val="none"/>
        </w:rPr>
      </w:pPr>
      <w:r>
        <w:rPr>
          <w:rFonts w:eastAsiaTheme="minorEastAsia"/>
          <w:color w:val="auto"/>
          <w:sz w:val="24"/>
          <w:highlight w:val="none"/>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spacing w:line="360" w:lineRule="auto"/>
        <w:rPr>
          <w:rFonts w:eastAsiaTheme="minorEastAsia"/>
          <w:color w:val="auto"/>
          <w:sz w:val="24"/>
          <w:highlight w:val="none"/>
        </w:rPr>
      </w:pPr>
      <w:r>
        <w:rPr>
          <w:rFonts w:eastAsiaTheme="minorEastAsia"/>
          <w:color w:val="auto"/>
          <w:sz w:val="24"/>
          <w:highlight w:val="none"/>
        </w:rPr>
        <w:t>2、合同文件及解释顺序</w:t>
      </w:r>
    </w:p>
    <w:p>
      <w:pPr>
        <w:spacing w:line="360" w:lineRule="auto"/>
        <w:rPr>
          <w:rFonts w:eastAsiaTheme="minorEastAsia"/>
          <w:color w:val="auto"/>
          <w:sz w:val="24"/>
          <w:highlight w:val="none"/>
        </w:rPr>
      </w:pPr>
      <w:r>
        <w:rPr>
          <w:rFonts w:eastAsiaTheme="minorEastAsia"/>
          <w:color w:val="auto"/>
          <w:sz w:val="24"/>
          <w:highlight w:val="none"/>
        </w:rPr>
        <w:t>2.1合同文件应能互相解释，互为说明。除本合同专用条款另有约定外，组成本合同的文件及优先解释顺序如下：</w:t>
      </w:r>
    </w:p>
    <w:p>
      <w:pPr>
        <w:spacing w:line="360" w:lineRule="auto"/>
        <w:rPr>
          <w:rFonts w:eastAsiaTheme="minorEastAsia"/>
          <w:color w:val="auto"/>
          <w:sz w:val="24"/>
          <w:highlight w:val="none"/>
        </w:rPr>
      </w:pPr>
      <w:r>
        <w:rPr>
          <w:rFonts w:eastAsiaTheme="minorEastAsia"/>
          <w:color w:val="auto"/>
          <w:sz w:val="24"/>
          <w:highlight w:val="none"/>
        </w:rPr>
        <w:t>(1)本合同履行过程中双方以书面形式签署的补充和修正文件；</w:t>
      </w:r>
    </w:p>
    <w:p>
      <w:pPr>
        <w:spacing w:line="360" w:lineRule="auto"/>
        <w:rPr>
          <w:rFonts w:eastAsiaTheme="minorEastAsia"/>
          <w:color w:val="auto"/>
          <w:sz w:val="24"/>
          <w:highlight w:val="none"/>
        </w:rPr>
      </w:pPr>
      <w:r>
        <w:rPr>
          <w:rFonts w:eastAsiaTheme="minorEastAsia"/>
          <w:color w:val="auto"/>
          <w:sz w:val="24"/>
          <w:highlight w:val="none"/>
        </w:rPr>
        <w:t>(2)本合同协议书：</w:t>
      </w:r>
    </w:p>
    <w:p>
      <w:pPr>
        <w:spacing w:line="360" w:lineRule="auto"/>
        <w:rPr>
          <w:rFonts w:eastAsiaTheme="minorEastAsia"/>
          <w:color w:val="auto"/>
          <w:sz w:val="24"/>
          <w:highlight w:val="none"/>
        </w:rPr>
      </w:pPr>
      <w:r>
        <w:rPr>
          <w:rFonts w:eastAsiaTheme="minorEastAsia"/>
          <w:color w:val="auto"/>
          <w:sz w:val="24"/>
          <w:highlight w:val="none"/>
        </w:rPr>
        <w:t>(3)本合同专用条款；</w:t>
      </w:r>
    </w:p>
    <w:p>
      <w:pPr>
        <w:spacing w:line="360" w:lineRule="auto"/>
        <w:rPr>
          <w:rFonts w:eastAsiaTheme="minorEastAsia"/>
          <w:color w:val="auto"/>
          <w:sz w:val="24"/>
          <w:highlight w:val="none"/>
        </w:rPr>
      </w:pPr>
      <w:r>
        <w:rPr>
          <w:rFonts w:eastAsiaTheme="minorEastAsia"/>
          <w:color w:val="auto"/>
          <w:sz w:val="24"/>
          <w:highlight w:val="none"/>
        </w:rPr>
        <w:t>(4)本合同通用条款。</w:t>
      </w:r>
    </w:p>
    <w:p>
      <w:pPr>
        <w:spacing w:line="360" w:lineRule="auto"/>
        <w:rPr>
          <w:rFonts w:eastAsiaTheme="minorEastAsia"/>
          <w:color w:val="auto"/>
          <w:sz w:val="24"/>
          <w:highlight w:val="none"/>
        </w:rPr>
      </w:pPr>
      <w:r>
        <w:rPr>
          <w:rFonts w:eastAsiaTheme="minorEastAsia"/>
          <w:color w:val="auto"/>
          <w:sz w:val="24"/>
          <w:highlight w:val="none"/>
        </w:rPr>
        <w:t>2.2当合同文件内容出现含糊不清或不相一致时，应在不影响招标代理业务正常进行的情况下，由委托人和受托人协商解决。双方协商不成时，按本合同专用条款第12条关于争议的约定处理。</w:t>
      </w:r>
    </w:p>
    <w:p>
      <w:pPr>
        <w:spacing w:line="360" w:lineRule="auto"/>
        <w:rPr>
          <w:rFonts w:eastAsiaTheme="minorEastAsia"/>
          <w:color w:val="auto"/>
          <w:sz w:val="24"/>
          <w:highlight w:val="none"/>
        </w:rPr>
      </w:pPr>
      <w:r>
        <w:rPr>
          <w:rFonts w:eastAsiaTheme="minorEastAsia"/>
          <w:color w:val="auto"/>
          <w:sz w:val="24"/>
          <w:highlight w:val="none"/>
        </w:rPr>
        <w:t>3、语言文字和适用法律</w:t>
      </w:r>
    </w:p>
    <w:p>
      <w:pPr>
        <w:spacing w:line="360" w:lineRule="auto"/>
        <w:rPr>
          <w:rFonts w:eastAsiaTheme="minorEastAsia"/>
          <w:color w:val="auto"/>
          <w:sz w:val="24"/>
          <w:highlight w:val="none"/>
        </w:rPr>
      </w:pPr>
      <w:r>
        <w:rPr>
          <w:rFonts w:eastAsiaTheme="minorEastAsia"/>
          <w:color w:val="auto"/>
          <w:sz w:val="24"/>
          <w:highlight w:val="none"/>
        </w:rPr>
        <w:t>3.1语言文字</w:t>
      </w:r>
    </w:p>
    <w:p>
      <w:pPr>
        <w:spacing w:line="360" w:lineRule="auto"/>
        <w:rPr>
          <w:rFonts w:eastAsiaTheme="minorEastAsia"/>
          <w:color w:val="auto"/>
          <w:sz w:val="24"/>
          <w:highlight w:val="none"/>
        </w:rPr>
      </w:pPr>
      <w:r>
        <w:rPr>
          <w:rFonts w:eastAsiaTheme="minorEastAsia"/>
          <w:color w:val="auto"/>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pPr>
        <w:spacing w:line="360" w:lineRule="auto"/>
        <w:rPr>
          <w:rFonts w:eastAsiaTheme="minorEastAsia"/>
          <w:color w:val="auto"/>
          <w:sz w:val="24"/>
          <w:highlight w:val="none"/>
        </w:rPr>
      </w:pPr>
      <w:r>
        <w:rPr>
          <w:rFonts w:eastAsiaTheme="minorEastAsia"/>
          <w:color w:val="auto"/>
          <w:sz w:val="24"/>
          <w:highlight w:val="none"/>
        </w:rPr>
        <w:t>3.2适用法律和行政法规</w:t>
      </w:r>
    </w:p>
    <w:p>
      <w:pPr>
        <w:spacing w:line="360" w:lineRule="auto"/>
        <w:rPr>
          <w:rFonts w:eastAsiaTheme="minorEastAsia"/>
          <w:color w:val="auto"/>
          <w:sz w:val="24"/>
          <w:highlight w:val="none"/>
        </w:rPr>
      </w:pPr>
      <w:r>
        <w:rPr>
          <w:rFonts w:eastAsiaTheme="minorEastAsia"/>
          <w:color w:val="auto"/>
          <w:sz w:val="24"/>
          <w:highlight w:val="none"/>
        </w:rPr>
        <w:t>本合同文件适用有关法律和行政法规。需要明示的法律和行政法规，双方可在本合同专用条款中约定。</w:t>
      </w:r>
    </w:p>
    <w:p>
      <w:pPr>
        <w:spacing w:line="360" w:lineRule="auto"/>
        <w:rPr>
          <w:rFonts w:eastAsiaTheme="minorEastAsia"/>
          <w:color w:val="auto"/>
          <w:sz w:val="24"/>
          <w:highlight w:val="none"/>
        </w:rPr>
      </w:pPr>
      <w:r>
        <w:rPr>
          <w:rFonts w:eastAsiaTheme="minorEastAsia"/>
          <w:color w:val="auto"/>
          <w:sz w:val="24"/>
          <w:highlight w:val="none"/>
        </w:rPr>
        <w:t>二、双方一般权利和义务</w:t>
      </w:r>
    </w:p>
    <w:p>
      <w:pPr>
        <w:spacing w:line="360" w:lineRule="auto"/>
        <w:rPr>
          <w:rFonts w:eastAsiaTheme="minorEastAsia"/>
          <w:color w:val="auto"/>
          <w:sz w:val="24"/>
          <w:highlight w:val="none"/>
        </w:rPr>
      </w:pPr>
      <w:r>
        <w:rPr>
          <w:rFonts w:eastAsiaTheme="minorEastAsia"/>
          <w:color w:val="auto"/>
          <w:sz w:val="24"/>
          <w:highlight w:val="none"/>
        </w:rPr>
        <w:t>4、委托人的义务</w:t>
      </w:r>
    </w:p>
    <w:p>
      <w:pPr>
        <w:spacing w:line="360" w:lineRule="auto"/>
        <w:rPr>
          <w:rFonts w:eastAsiaTheme="minorEastAsia"/>
          <w:color w:val="auto"/>
          <w:sz w:val="24"/>
          <w:highlight w:val="none"/>
        </w:rPr>
      </w:pPr>
      <w:r>
        <w:rPr>
          <w:rFonts w:eastAsiaTheme="minorEastAsia"/>
          <w:color w:val="auto"/>
          <w:sz w:val="24"/>
          <w:highlight w:val="none"/>
        </w:rPr>
        <w:t>4.1委托人将委托招标代理工作的具体范围和内容在本合同专用条款中约定。</w:t>
      </w:r>
    </w:p>
    <w:p>
      <w:pPr>
        <w:spacing w:line="360" w:lineRule="auto"/>
        <w:rPr>
          <w:rFonts w:eastAsiaTheme="minorEastAsia"/>
          <w:color w:val="auto"/>
          <w:sz w:val="24"/>
          <w:highlight w:val="none"/>
        </w:rPr>
      </w:pPr>
      <w:r>
        <w:rPr>
          <w:rFonts w:eastAsiaTheme="minorEastAsia"/>
          <w:color w:val="auto"/>
          <w:sz w:val="24"/>
          <w:highlight w:val="none"/>
        </w:rPr>
        <w:t>4.2委托人按本合同专用条款约定的内容和时间完成下列工作：</w:t>
      </w:r>
    </w:p>
    <w:p>
      <w:pPr>
        <w:spacing w:line="360" w:lineRule="auto"/>
        <w:rPr>
          <w:rFonts w:eastAsiaTheme="minorEastAsia"/>
          <w:color w:val="auto"/>
          <w:sz w:val="24"/>
          <w:highlight w:val="none"/>
        </w:rPr>
      </w:pPr>
      <w:r>
        <w:rPr>
          <w:rFonts w:eastAsiaTheme="minorEastAsia"/>
          <w:color w:val="auto"/>
          <w:sz w:val="24"/>
          <w:highlight w:val="none"/>
        </w:rPr>
        <w:t>(1) 向受托人提供本工程招标代理业务应具备的相关工程前期资料；</w:t>
      </w:r>
    </w:p>
    <w:p>
      <w:pPr>
        <w:spacing w:line="360" w:lineRule="auto"/>
        <w:rPr>
          <w:rFonts w:eastAsiaTheme="minorEastAsia"/>
          <w:color w:val="auto"/>
          <w:sz w:val="24"/>
          <w:highlight w:val="none"/>
        </w:rPr>
      </w:pPr>
      <w:r>
        <w:rPr>
          <w:rFonts w:eastAsiaTheme="minorEastAsia"/>
          <w:color w:val="auto"/>
          <w:sz w:val="24"/>
          <w:highlight w:val="none"/>
        </w:rPr>
        <w:t>(2)向受托人提供完成本工程：招标代理业务所需的全部技术资料和图纸，需要交底的须向受托人详细交底，并对提供资料的真实性、完整性、准确性负责；</w:t>
      </w:r>
    </w:p>
    <w:p>
      <w:pPr>
        <w:spacing w:line="360" w:lineRule="auto"/>
        <w:rPr>
          <w:rFonts w:eastAsiaTheme="minorEastAsia"/>
          <w:color w:val="auto"/>
          <w:sz w:val="24"/>
          <w:highlight w:val="none"/>
        </w:rPr>
      </w:pPr>
      <w:r>
        <w:rPr>
          <w:rFonts w:eastAsiaTheme="minorEastAsia"/>
          <w:color w:val="auto"/>
          <w:sz w:val="24"/>
          <w:highlight w:val="none"/>
        </w:rPr>
        <w:t>(3)向受托人提供保证招标工作顺利完成的条件，提供的条件在本合同专用条款内约定；</w:t>
      </w:r>
    </w:p>
    <w:p>
      <w:pPr>
        <w:spacing w:line="360" w:lineRule="auto"/>
        <w:rPr>
          <w:rFonts w:eastAsiaTheme="minorEastAsia"/>
          <w:color w:val="auto"/>
          <w:sz w:val="24"/>
          <w:highlight w:val="none"/>
        </w:rPr>
      </w:pPr>
      <w:r>
        <w:rPr>
          <w:rFonts w:eastAsiaTheme="minorEastAsia"/>
          <w:color w:val="auto"/>
          <w:sz w:val="24"/>
          <w:highlight w:val="none"/>
        </w:rPr>
        <w:t>(4)指定专人与受托人联系，指定人员的姓名、职务、职称在本合同专用条款内约定；</w:t>
      </w:r>
    </w:p>
    <w:p>
      <w:pPr>
        <w:spacing w:line="360" w:lineRule="auto"/>
        <w:rPr>
          <w:rFonts w:eastAsiaTheme="minorEastAsia"/>
          <w:color w:val="auto"/>
          <w:sz w:val="24"/>
          <w:highlight w:val="none"/>
        </w:rPr>
      </w:pPr>
      <w:r>
        <w:rPr>
          <w:rFonts w:eastAsiaTheme="minorEastAsia"/>
          <w:color w:val="auto"/>
          <w:sz w:val="24"/>
          <w:highlight w:val="none"/>
        </w:rPr>
        <w:t>(5)根据需要，作好与第三方的协调工作；</w:t>
      </w:r>
    </w:p>
    <w:p>
      <w:pPr>
        <w:spacing w:line="360" w:lineRule="auto"/>
        <w:rPr>
          <w:rFonts w:eastAsiaTheme="minorEastAsia"/>
          <w:color w:val="auto"/>
          <w:sz w:val="24"/>
          <w:highlight w:val="none"/>
        </w:rPr>
      </w:pPr>
      <w:r>
        <w:rPr>
          <w:rFonts w:eastAsiaTheme="minorEastAsia"/>
          <w:color w:val="auto"/>
          <w:sz w:val="24"/>
          <w:highlight w:val="none"/>
        </w:rPr>
        <w:t>(6)按本合同专用条款的约定支付代理报酬；</w:t>
      </w:r>
    </w:p>
    <w:p>
      <w:pPr>
        <w:spacing w:line="360" w:lineRule="auto"/>
        <w:rPr>
          <w:rFonts w:eastAsiaTheme="minorEastAsia"/>
          <w:color w:val="auto"/>
          <w:sz w:val="24"/>
          <w:highlight w:val="none"/>
        </w:rPr>
      </w:pPr>
      <w:r>
        <w:rPr>
          <w:rFonts w:eastAsiaTheme="minorEastAsia"/>
          <w:color w:val="auto"/>
          <w:sz w:val="24"/>
          <w:highlight w:val="none"/>
        </w:rPr>
        <w:t>(7)依法应尽的其他义务，双方在本合同专用条款内约定。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4.3委托人负有对受托人为本合同提供的技术服务进行知识产权保护的责任。</w:t>
      </w:r>
    </w:p>
    <w:p>
      <w:pPr>
        <w:spacing w:line="360" w:lineRule="auto"/>
        <w:rPr>
          <w:rFonts w:eastAsiaTheme="minorEastAsia"/>
          <w:color w:val="auto"/>
          <w:sz w:val="24"/>
          <w:highlight w:val="none"/>
        </w:rPr>
      </w:pPr>
      <w:r>
        <w:rPr>
          <w:rFonts w:eastAsiaTheme="minorEastAsia"/>
          <w:color w:val="auto"/>
          <w:sz w:val="24"/>
          <w:highlight w:val="none"/>
        </w:rPr>
        <w:t>5、受托人的义务</w:t>
      </w:r>
    </w:p>
    <w:p>
      <w:pPr>
        <w:spacing w:line="360" w:lineRule="auto"/>
        <w:rPr>
          <w:rFonts w:eastAsiaTheme="minorEastAsia"/>
          <w:color w:val="auto"/>
          <w:sz w:val="24"/>
          <w:highlight w:val="none"/>
        </w:rPr>
      </w:pPr>
      <w:r>
        <w:rPr>
          <w:rFonts w:eastAsiaTheme="minorEastAsia"/>
          <w:color w:val="auto"/>
          <w:sz w:val="24"/>
          <w:highlight w:val="none"/>
        </w:rPr>
        <w:t>5.1受托人应根据本合同专用条款中约定的委托招标代理业务的工作范围和内容，选择有足够经验的专职技术经济人员担任招标代理项目负责人。招标代理项目负责人的姓名、身份证号在专用条款内写明。</w:t>
      </w:r>
    </w:p>
    <w:p>
      <w:pPr>
        <w:spacing w:line="360" w:lineRule="auto"/>
        <w:rPr>
          <w:rFonts w:eastAsiaTheme="minorEastAsia"/>
          <w:color w:val="auto"/>
          <w:sz w:val="24"/>
          <w:highlight w:val="none"/>
        </w:rPr>
      </w:pPr>
      <w:r>
        <w:rPr>
          <w:rFonts w:eastAsiaTheme="minorEastAsia"/>
          <w:color w:val="auto"/>
          <w:sz w:val="24"/>
          <w:highlight w:val="none"/>
        </w:rPr>
        <w:t>5.2受托人按本合同专用条款约定的内容和时间完成下列工作：</w:t>
      </w:r>
    </w:p>
    <w:p>
      <w:pPr>
        <w:spacing w:line="360" w:lineRule="auto"/>
        <w:rPr>
          <w:rFonts w:eastAsiaTheme="minorEastAsia"/>
          <w:color w:val="auto"/>
          <w:sz w:val="24"/>
          <w:highlight w:val="none"/>
        </w:rPr>
      </w:pPr>
      <w:r>
        <w:rPr>
          <w:rFonts w:eastAsiaTheme="minorEastAsia"/>
          <w:color w:val="auto"/>
          <w:sz w:val="24"/>
          <w:highlight w:val="none"/>
        </w:rPr>
        <w:t>(1)依法按照公开、公平、公正和诚实信用原则，组织招标工作，维护各方的合法权益；</w:t>
      </w:r>
    </w:p>
    <w:p>
      <w:pPr>
        <w:spacing w:line="360" w:lineRule="auto"/>
        <w:rPr>
          <w:rFonts w:eastAsiaTheme="minorEastAsia"/>
          <w:color w:val="auto"/>
          <w:sz w:val="24"/>
          <w:highlight w:val="none"/>
        </w:rPr>
      </w:pPr>
      <w:r>
        <w:rPr>
          <w:rFonts w:eastAsiaTheme="minorEastAsia"/>
          <w:color w:val="auto"/>
          <w:sz w:val="24"/>
          <w:highlight w:val="none"/>
        </w:rPr>
        <w:t>(2)应用专业技术与技能为委托人提供完成招标工作相关的咨询服务；</w:t>
      </w:r>
    </w:p>
    <w:p>
      <w:pPr>
        <w:spacing w:line="360" w:lineRule="auto"/>
        <w:rPr>
          <w:rFonts w:eastAsiaTheme="minorEastAsia"/>
          <w:color w:val="auto"/>
          <w:sz w:val="24"/>
          <w:highlight w:val="none"/>
        </w:rPr>
      </w:pPr>
      <w:r>
        <w:rPr>
          <w:rFonts w:eastAsiaTheme="minorEastAsia"/>
          <w:color w:val="auto"/>
          <w:sz w:val="24"/>
          <w:highlight w:val="none"/>
        </w:rPr>
        <w:t>(3)向委托人宣传有关工程招标的法律、行政法规和规章，解释合理的招标程序，以便得到委托人的支持和配合；</w:t>
      </w:r>
    </w:p>
    <w:p>
      <w:pPr>
        <w:spacing w:line="360" w:lineRule="auto"/>
        <w:rPr>
          <w:rFonts w:eastAsiaTheme="minorEastAsia"/>
          <w:color w:val="auto"/>
          <w:sz w:val="24"/>
          <w:highlight w:val="none"/>
        </w:rPr>
      </w:pPr>
      <w:r>
        <w:rPr>
          <w:rFonts w:eastAsiaTheme="minorEastAsia"/>
          <w:color w:val="auto"/>
          <w:sz w:val="24"/>
          <w:highlight w:val="none"/>
        </w:rPr>
        <w:t>(4)依法应尽的其他义务，双方在本合同专用条款内约定。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5.3受托人应对招标工作中受托人所出具有关数据的计算、技术经济资料等的科学性和准确性负责。</w:t>
      </w:r>
    </w:p>
    <w:p>
      <w:pPr>
        <w:spacing w:line="360" w:lineRule="auto"/>
        <w:rPr>
          <w:rFonts w:eastAsiaTheme="minorEastAsia"/>
          <w:color w:val="auto"/>
          <w:sz w:val="24"/>
          <w:highlight w:val="none"/>
        </w:rPr>
      </w:pPr>
      <w:r>
        <w:rPr>
          <w:rFonts w:eastAsiaTheme="minorEastAsia"/>
          <w:color w:val="auto"/>
          <w:sz w:val="24"/>
          <w:highlight w:val="none"/>
        </w:rPr>
        <w:t>5.4受托人不得接受与本合同工程建设项目中委托招标范围之内的相关的投标人的咨询业务。</w:t>
      </w:r>
    </w:p>
    <w:p>
      <w:pPr>
        <w:spacing w:line="360" w:lineRule="auto"/>
        <w:rPr>
          <w:rFonts w:eastAsiaTheme="minorEastAsia"/>
          <w:color w:val="auto"/>
          <w:sz w:val="24"/>
          <w:highlight w:val="none"/>
        </w:rPr>
      </w:pPr>
      <w:r>
        <w:rPr>
          <w:rFonts w:eastAsiaTheme="minorEastAsia"/>
          <w:color w:val="auto"/>
          <w:sz w:val="24"/>
          <w:highlight w:val="none"/>
        </w:rPr>
        <w:t>5.5受托人为本合同提供技术服务的知识产权应属委托人和受托人共有。任何第三方如果提出侵权指控，受托人须与第三方交涉并承担由此而引起的一切法律责任和费用。</w:t>
      </w:r>
    </w:p>
    <w:p>
      <w:pPr>
        <w:spacing w:line="360" w:lineRule="auto"/>
        <w:rPr>
          <w:rFonts w:eastAsiaTheme="minorEastAsia"/>
          <w:color w:val="auto"/>
          <w:sz w:val="24"/>
          <w:highlight w:val="none"/>
        </w:rPr>
      </w:pPr>
      <w:r>
        <w:rPr>
          <w:rFonts w:eastAsiaTheme="minorEastAsia"/>
          <w:color w:val="auto"/>
          <w:sz w:val="24"/>
          <w:highlight w:val="none"/>
        </w:rPr>
        <w:t>5.6未经委托人同意，受托人不得分包或转让本合同的任何权利和义务。</w:t>
      </w:r>
    </w:p>
    <w:p>
      <w:pPr>
        <w:spacing w:line="360" w:lineRule="auto"/>
        <w:rPr>
          <w:rFonts w:eastAsiaTheme="minorEastAsia"/>
          <w:color w:val="auto"/>
          <w:sz w:val="24"/>
          <w:highlight w:val="none"/>
        </w:rPr>
      </w:pPr>
      <w:r>
        <w:rPr>
          <w:rFonts w:eastAsiaTheme="minorEastAsia"/>
          <w:color w:val="auto"/>
          <w:sz w:val="24"/>
          <w:highlight w:val="none"/>
        </w:rPr>
        <w:t>5.7受托人不得接受所有投标人的礼品、宴请和任何其它好处，不得泄露招标、评标、定标过程中依法需要保密的内容。合同终止后，未经委托人同意，受托人不得泄漏与本合同工程相关的任何招标资料和情况。</w:t>
      </w:r>
    </w:p>
    <w:p>
      <w:pPr>
        <w:spacing w:line="360" w:lineRule="auto"/>
        <w:rPr>
          <w:rFonts w:eastAsiaTheme="minorEastAsia"/>
          <w:color w:val="auto"/>
          <w:sz w:val="24"/>
          <w:highlight w:val="none"/>
        </w:rPr>
      </w:pPr>
      <w:r>
        <w:rPr>
          <w:rFonts w:eastAsiaTheme="minorEastAsia"/>
          <w:color w:val="auto"/>
          <w:sz w:val="24"/>
          <w:highlight w:val="none"/>
        </w:rPr>
        <w:t>5.8受托人未能履行以上各项义务，给委托人造成损失的，应当赔偿委托人的有关损失。</w:t>
      </w:r>
    </w:p>
    <w:p>
      <w:pPr>
        <w:spacing w:line="360" w:lineRule="auto"/>
        <w:rPr>
          <w:rFonts w:eastAsiaTheme="minorEastAsia"/>
          <w:color w:val="auto"/>
          <w:sz w:val="24"/>
          <w:highlight w:val="none"/>
        </w:rPr>
      </w:pPr>
      <w:r>
        <w:rPr>
          <w:rFonts w:eastAsiaTheme="minorEastAsia"/>
          <w:color w:val="auto"/>
          <w:sz w:val="24"/>
          <w:highlight w:val="none"/>
        </w:rPr>
        <w:t>6、委托人的权利</w:t>
      </w:r>
    </w:p>
    <w:p>
      <w:pPr>
        <w:spacing w:line="360" w:lineRule="auto"/>
        <w:rPr>
          <w:rFonts w:eastAsiaTheme="minorEastAsia"/>
          <w:color w:val="auto"/>
          <w:sz w:val="24"/>
          <w:highlight w:val="none"/>
        </w:rPr>
      </w:pPr>
      <w:r>
        <w:rPr>
          <w:rFonts w:eastAsiaTheme="minorEastAsia"/>
          <w:color w:val="auto"/>
          <w:sz w:val="24"/>
          <w:highlight w:val="none"/>
        </w:rPr>
        <w:t>6.1委托人拥有下列权利：</w:t>
      </w:r>
    </w:p>
    <w:p>
      <w:pPr>
        <w:spacing w:line="360" w:lineRule="auto"/>
        <w:rPr>
          <w:rFonts w:eastAsiaTheme="minorEastAsia"/>
          <w:color w:val="auto"/>
          <w:sz w:val="24"/>
          <w:highlight w:val="none"/>
        </w:rPr>
      </w:pPr>
      <w:r>
        <w:rPr>
          <w:rFonts w:eastAsiaTheme="minorEastAsia"/>
          <w:color w:val="auto"/>
          <w:sz w:val="24"/>
          <w:highlight w:val="none"/>
        </w:rPr>
        <w:t>(1)按合同约定，接收招标代理成果；</w:t>
      </w:r>
    </w:p>
    <w:p>
      <w:pPr>
        <w:spacing w:line="360" w:lineRule="auto"/>
        <w:rPr>
          <w:rFonts w:eastAsiaTheme="minorEastAsia"/>
          <w:color w:val="auto"/>
          <w:sz w:val="24"/>
          <w:highlight w:val="none"/>
        </w:rPr>
      </w:pPr>
      <w:r>
        <w:rPr>
          <w:rFonts w:eastAsiaTheme="minorEastAsia"/>
          <w:color w:val="auto"/>
          <w:sz w:val="24"/>
          <w:highlight w:val="none"/>
        </w:rPr>
        <w:t>(2) 向受托人询问本合同工程招标工作进展情况和相关内容或提出不违反法律、行政法规的建议；</w:t>
      </w:r>
    </w:p>
    <w:p>
      <w:pPr>
        <w:spacing w:line="360" w:lineRule="auto"/>
        <w:rPr>
          <w:rFonts w:eastAsiaTheme="minorEastAsia"/>
          <w:color w:val="auto"/>
          <w:sz w:val="24"/>
          <w:highlight w:val="none"/>
        </w:rPr>
      </w:pPr>
      <w:r>
        <w:rPr>
          <w:rFonts w:eastAsiaTheme="minorEastAsia"/>
          <w:color w:val="auto"/>
          <w:sz w:val="24"/>
          <w:highlight w:val="none"/>
        </w:rPr>
        <w:t>(3)审查受托人为本合同工程编制的各种文件，并提出修正意见；</w:t>
      </w:r>
    </w:p>
    <w:p>
      <w:pPr>
        <w:spacing w:line="360" w:lineRule="auto"/>
        <w:rPr>
          <w:rFonts w:eastAsiaTheme="minorEastAsia"/>
          <w:color w:val="auto"/>
          <w:sz w:val="24"/>
          <w:highlight w:val="none"/>
        </w:rPr>
      </w:pPr>
      <w:r>
        <w:rPr>
          <w:rFonts w:eastAsiaTheme="minorEastAsia"/>
          <w:color w:val="auto"/>
          <w:sz w:val="24"/>
          <w:highlight w:val="none"/>
        </w:rPr>
        <w:t>(4)要求受托人提交招标代理业务工作报告；</w:t>
      </w:r>
    </w:p>
    <w:p>
      <w:pPr>
        <w:spacing w:line="360" w:lineRule="auto"/>
        <w:rPr>
          <w:rFonts w:eastAsiaTheme="minorEastAsia"/>
          <w:color w:val="auto"/>
          <w:sz w:val="24"/>
          <w:highlight w:val="none"/>
        </w:rPr>
      </w:pPr>
      <w:r>
        <w:rPr>
          <w:rFonts w:eastAsiaTheme="minorEastAsia"/>
          <w:color w:val="auto"/>
          <w:sz w:val="24"/>
          <w:highlight w:val="none"/>
        </w:rPr>
        <w:t>(5)与受托人协商，建议更换其不称职的招标代理从业人员；</w:t>
      </w:r>
    </w:p>
    <w:p>
      <w:pPr>
        <w:spacing w:line="360" w:lineRule="auto"/>
        <w:rPr>
          <w:rFonts w:eastAsiaTheme="minorEastAsia"/>
          <w:color w:val="auto"/>
          <w:sz w:val="24"/>
          <w:highlight w:val="none"/>
        </w:rPr>
      </w:pPr>
      <w:r>
        <w:rPr>
          <w:rFonts w:eastAsiaTheme="minorEastAsia"/>
          <w:color w:val="auto"/>
          <w:sz w:val="24"/>
          <w:highlight w:val="none"/>
        </w:rPr>
        <w:t>(6)依法选择中标人；</w:t>
      </w:r>
    </w:p>
    <w:p>
      <w:pPr>
        <w:spacing w:line="360" w:lineRule="auto"/>
        <w:rPr>
          <w:rFonts w:eastAsiaTheme="minorEastAsia"/>
          <w:color w:val="auto"/>
          <w:sz w:val="24"/>
          <w:highlight w:val="none"/>
        </w:rPr>
      </w:pPr>
      <w:r>
        <w:rPr>
          <w:rFonts w:eastAsiaTheme="minorEastAsia"/>
          <w:color w:val="auto"/>
          <w:sz w:val="24"/>
          <w:highlight w:val="none"/>
        </w:rPr>
        <w:t>(7)本合同履行期间，由于受托人不履行合同约定的内容，给委托人造成损失或影响招标工作正常进行的，委托人有权终止本合同，并依法向受托人追索经济赔偿，直至追究法律责任；</w:t>
      </w:r>
    </w:p>
    <w:p>
      <w:pPr>
        <w:spacing w:line="360" w:lineRule="auto"/>
        <w:rPr>
          <w:rFonts w:eastAsiaTheme="minorEastAsia"/>
          <w:color w:val="auto"/>
          <w:sz w:val="24"/>
          <w:highlight w:val="none"/>
        </w:rPr>
      </w:pPr>
      <w:r>
        <w:rPr>
          <w:rFonts w:eastAsiaTheme="minorEastAsia"/>
          <w:color w:val="auto"/>
          <w:sz w:val="24"/>
          <w:highlight w:val="none"/>
        </w:rPr>
        <w:t>(8)依法享有的其他权利，双方在本合同专用条款内约定。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7、受托人的权利</w:t>
      </w:r>
    </w:p>
    <w:p>
      <w:pPr>
        <w:spacing w:line="360" w:lineRule="auto"/>
        <w:rPr>
          <w:rFonts w:eastAsiaTheme="minorEastAsia"/>
          <w:color w:val="auto"/>
          <w:sz w:val="24"/>
          <w:highlight w:val="none"/>
        </w:rPr>
      </w:pPr>
      <w:r>
        <w:rPr>
          <w:rFonts w:eastAsiaTheme="minorEastAsia"/>
          <w:color w:val="auto"/>
          <w:sz w:val="24"/>
          <w:highlight w:val="none"/>
        </w:rPr>
        <w:t>7.1受托人拥有下列权利：</w:t>
      </w:r>
    </w:p>
    <w:p>
      <w:pPr>
        <w:spacing w:line="360" w:lineRule="auto"/>
        <w:rPr>
          <w:rFonts w:eastAsiaTheme="minorEastAsia"/>
          <w:color w:val="auto"/>
          <w:sz w:val="24"/>
          <w:highlight w:val="none"/>
        </w:rPr>
      </w:pPr>
      <w:r>
        <w:rPr>
          <w:rFonts w:eastAsiaTheme="minorEastAsia"/>
          <w:color w:val="auto"/>
          <w:sz w:val="24"/>
          <w:highlight w:val="none"/>
        </w:rPr>
        <w:t>(1)按合同约定收取委托代理报酬；</w:t>
      </w:r>
    </w:p>
    <w:p>
      <w:pPr>
        <w:spacing w:line="360" w:lineRule="auto"/>
        <w:rPr>
          <w:rFonts w:eastAsiaTheme="minorEastAsia"/>
          <w:color w:val="auto"/>
          <w:sz w:val="24"/>
          <w:highlight w:val="none"/>
        </w:rPr>
      </w:pPr>
      <w:r>
        <w:rPr>
          <w:rFonts w:eastAsiaTheme="minorEastAsia"/>
          <w:color w:val="auto"/>
          <w:sz w:val="24"/>
          <w:highlight w:val="none"/>
        </w:rPr>
        <w:t>(2)对招标过程中应由委托人做出的决定，受托人有权提出建议</w:t>
      </w:r>
    </w:p>
    <w:p>
      <w:pPr>
        <w:spacing w:line="360" w:lineRule="auto"/>
        <w:rPr>
          <w:rFonts w:eastAsiaTheme="minorEastAsia"/>
          <w:color w:val="auto"/>
          <w:sz w:val="24"/>
          <w:highlight w:val="none"/>
        </w:rPr>
      </w:pPr>
      <w:r>
        <w:rPr>
          <w:rFonts w:eastAsiaTheme="minorEastAsia"/>
          <w:color w:val="auto"/>
          <w:sz w:val="24"/>
          <w:highlight w:val="none"/>
        </w:rPr>
        <w:t>(3)当委托人提供的资料不足或不明确时，有权要求委托人补足材料或作出明确的答复；</w:t>
      </w:r>
    </w:p>
    <w:p>
      <w:pPr>
        <w:spacing w:line="360" w:lineRule="auto"/>
        <w:rPr>
          <w:rFonts w:eastAsiaTheme="minorEastAsia"/>
          <w:color w:val="auto"/>
          <w:sz w:val="24"/>
          <w:highlight w:val="none"/>
        </w:rPr>
      </w:pPr>
      <w:r>
        <w:rPr>
          <w:rFonts w:eastAsiaTheme="minorEastAsia"/>
          <w:color w:val="auto"/>
          <w:sz w:val="24"/>
          <w:highlight w:val="none"/>
        </w:rPr>
        <w:t>(4)拒绝委托人提出的违反法律、行政法规的要求，并向委托人作出解释；</w:t>
      </w:r>
    </w:p>
    <w:p>
      <w:pPr>
        <w:spacing w:line="360" w:lineRule="auto"/>
        <w:rPr>
          <w:rFonts w:eastAsiaTheme="minorEastAsia"/>
          <w:color w:val="auto"/>
          <w:sz w:val="24"/>
          <w:highlight w:val="none"/>
        </w:rPr>
      </w:pPr>
      <w:r>
        <w:rPr>
          <w:rFonts w:eastAsiaTheme="minorEastAsia"/>
          <w:color w:val="auto"/>
          <w:sz w:val="24"/>
          <w:highlight w:val="none"/>
        </w:rPr>
        <w:t>(5)有权参加委托人组织的涉及招标工作的会议和活动；</w:t>
      </w:r>
    </w:p>
    <w:p>
      <w:pPr>
        <w:spacing w:line="360" w:lineRule="auto"/>
        <w:rPr>
          <w:rFonts w:eastAsiaTheme="minorEastAsia"/>
          <w:color w:val="auto"/>
          <w:sz w:val="24"/>
          <w:highlight w:val="none"/>
        </w:rPr>
      </w:pPr>
      <w:r>
        <w:rPr>
          <w:rFonts w:eastAsiaTheme="minorEastAsia"/>
          <w:color w:val="auto"/>
          <w:sz w:val="24"/>
          <w:highlight w:val="none"/>
        </w:rPr>
        <w:t>(6)依法享有的其他权利，双方在本合同专用条款内约定。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三、委托代理报酬与收取</w:t>
      </w:r>
    </w:p>
    <w:p>
      <w:pPr>
        <w:spacing w:line="360" w:lineRule="auto"/>
        <w:rPr>
          <w:rFonts w:eastAsiaTheme="minorEastAsia"/>
          <w:color w:val="auto"/>
          <w:sz w:val="24"/>
          <w:highlight w:val="none"/>
        </w:rPr>
      </w:pPr>
      <w:r>
        <w:rPr>
          <w:rFonts w:eastAsiaTheme="minorEastAsia"/>
          <w:color w:val="auto"/>
          <w:sz w:val="24"/>
          <w:highlight w:val="none"/>
        </w:rPr>
        <w:t>8、委托代理报酬</w:t>
      </w:r>
    </w:p>
    <w:p>
      <w:pPr>
        <w:spacing w:line="360" w:lineRule="auto"/>
        <w:rPr>
          <w:rFonts w:eastAsiaTheme="minorEastAsia"/>
          <w:color w:val="auto"/>
          <w:sz w:val="24"/>
          <w:highlight w:val="none"/>
        </w:rPr>
      </w:pPr>
      <w:r>
        <w:rPr>
          <w:rFonts w:eastAsiaTheme="minorEastAsia"/>
          <w:color w:val="auto"/>
          <w:sz w:val="24"/>
          <w:highlight w:val="none"/>
        </w:rPr>
        <w:t>8.1双方按照本合同约定的招标代理业务范围，在本合同专用条款内约定委托代理报酬的计算方法、金额、币种、汇率和支付方式、时间。</w:t>
      </w:r>
    </w:p>
    <w:p>
      <w:pPr>
        <w:spacing w:line="360" w:lineRule="auto"/>
        <w:rPr>
          <w:rFonts w:eastAsiaTheme="minorEastAsia"/>
          <w:color w:val="auto"/>
          <w:sz w:val="24"/>
          <w:highlight w:val="none"/>
        </w:rPr>
      </w:pPr>
      <w:r>
        <w:rPr>
          <w:rFonts w:eastAsiaTheme="minorEastAsia"/>
          <w:color w:val="auto"/>
          <w:sz w:val="24"/>
          <w:highlight w:val="none"/>
        </w:rPr>
        <w:t>8.2受托人对所承接的招标代理业务需要出外考察的，其外出人员数量和费用，由受托人自己承担。</w:t>
      </w:r>
    </w:p>
    <w:p>
      <w:pPr>
        <w:spacing w:line="360" w:lineRule="auto"/>
        <w:rPr>
          <w:rFonts w:eastAsiaTheme="minorEastAsia"/>
          <w:color w:val="auto"/>
          <w:sz w:val="24"/>
          <w:highlight w:val="none"/>
        </w:rPr>
      </w:pPr>
      <w:r>
        <w:rPr>
          <w:rFonts w:eastAsiaTheme="minorEastAsia"/>
          <w:color w:val="auto"/>
          <w:sz w:val="24"/>
          <w:highlight w:val="none"/>
        </w:rPr>
        <w:t>8.3在招标代理业务范围内所发生的费用 (如：评标会务费、评标专家的差旅费、劳务费、公证费等)，由委托人与受托人在专用条款中约定。</w:t>
      </w:r>
    </w:p>
    <w:p>
      <w:pPr>
        <w:spacing w:line="360" w:lineRule="auto"/>
        <w:rPr>
          <w:rFonts w:eastAsiaTheme="minorEastAsia"/>
          <w:color w:val="auto"/>
          <w:sz w:val="24"/>
          <w:highlight w:val="none"/>
        </w:rPr>
      </w:pPr>
      <w:r>
        <w:rPr>
          <w:rFonts w:eastAsiaTheme="minorEastAsia"/>
          <w:color w:val="auto"/>
          <w:sz w:val="24"/>
          <w:highlight w:val="none"/>
        </w:rPr>
        <w:t>9、委托代理报酬的收取</w:t>
      </w:r>
    </w:p>
    <w:p>
      <w:pPr>
        <w:spacing w:line="360" w:lineRule="auto"/>
        <w:rPr>
          <w:rFonts w:eastAsiaTheme="minorEastAsia"/>
          <w:color w:val="auto"/>
          <w:sz w:val="24"/>
          <w:highlight w:val="none"/>
        </w:rPr>
      </w:pPr>
      <w:r>
        <w:rPr>
          <w:rFonts w:eastAsiaTheme="minorEastAsia"/>
          <w:color w:val="auto"/>
          <w:sz w:val="24"/>
          <w:highlight w:val="none"/>
        </w:rPr>
        <w:t>9.2受托人完成委托人委托的招标代理工作范围以外的工作，为附加服务项目，应收取的报酬由双方协商，签订补充协议。</w:t>
      </w:r>
    </w:p>
    <w:p>
      <w:pPr>
        <w:spacing w:line="360" w:lineRule="auto"/>
        <w:rPr>
          <w:rFonts w:eastAsiaTheme="minorEastAsia"/>
          <w:color w:val="auto"/>
          <w:sz w:val="24"/>
          <w:highlight w:val="none"/>
        </w:rPr>
      </w:pPr>
      <w:r>
        <w:rPr>
          <w:rFonts w:eastAsiaTheme="minorEastAsia"/>
          <w:color w:val="auto"/>
          <w:sz w:val="24"/>
          <w:highlight w:val="none"/>
        </w:rPr>
        <w:t>9.3委托代理报酬应由委托人按本合同专用条款约定的支付方法和时间，直接向受托人支付；或受托人按照约定直接向中标人收取。</w:t>
      </w:r>
    </w:p>
    <w:p>
      <w:pPr>
        <w:spacing w:line="360" w:lineRule="auto"/>
        <w:rPr>
          <w:rFonts w:eastAsiaTheme="minorEastAsia"/>
          <w:color w:val="auto"/>
          <w:sz w:val="24"/>
          <w:highlight w:val="none"/>
        </w:rPr>
      </w:pPr>
      <w:r>
        <w:rPr>
          <w:rFonts w:eastAsiaTheme="minorEastAsia"/>
          <w:color w:val="auto"/>
          <w:sz w:val="24"/>
          <w:highlight w:val="none"/>
        </w:rPr>
        <w:t>四、违约、索赔和争议</w:t>
      </w:r>
    </w:p>
    <w:p>
      <w:pPr>
        <w:spacing w:line="360" w:lineRule="auto"/>
        <w:rPr>
          <w:rFonts w:eastAsiaTheme="minorEastAsia"/>
          <w:color w:val="auto"/>
          <w:sz w:val="24"/>
          <w:highlight w:val="none"/>
        </w:rPr>
      </w:pPr>
      <w:r>
        <w:rPr>
          <w:rFonts w:eastAsiaTheme="minorEastAsia"/>
          <w:color w:val="auto"/>
          <w:sz w:val="24"/>
          <w:highlight w:val="none"/>
        </w:rPr>
        <w:t>10、违约</w:t>
      </w:r>
    </w:p>
    <w:p>
      <w:pPr>
        <w:spacing w:line="360" w:lineRule="auto"/>
        <w:rPr>
          <w:rFonts w:eastAsiaTheme="minorEastAsia"/>
          <w:color w:val="auto"/>
          <w:sz w:val="24"/>
          <w:highlight w:val="none"/>
        </w:rPr>
      </w:pPr>
      <w:r>
        <w:rPr>
          <w:rFonts w:eastAsiaTheme="minorEastAsia"/>
          <w:color w:val="auto"/>
          <w:sz w:val="24"/>
          <w:highlight w:val="none"/>
        </w:rPr>
        <w:t>10.1委托人违约。当发生下列情况时：</w:t>
      </w:r>
    </w:p>
    <w:p>
      <w:pPr>
        <w:spacing w:line="360" w:lineRule="auto"/>
        <w:rPr>
          <w:rFonts w:eastAsiaTheme="minorEastAsia"/>
          <w:color w:val="auto"/>
          <w:sz w:val="24"/>
          <w:highlight w:val="none"/>
        </w:rPr>
      </w:pPr>
      <w:r>
        <w:rPr>
          <w:rFonts w:eastAsiaTheme="minorEastAsia"/>
          <w:color w:val="auto"/>
          <w:sz w:val="24"/>
          <w:highlight w:val="none"/>
        </w:rPr>
        <w:t>(1)本合同通用条款第4.2一(3)款提到的委托人未按本合同专用条款的约定向受托人提供为保证招标工作顺利完成的条件，致使招标工作无法进行；</w:t>
      </w:r>
    </w:p>
    <w:p>
      <w:pPr>
        <w:spacing w:line="360" w:lineRule="auto"/>
        <w:rPr>
          <w:rFonts w:eastAsiaTheme="minorEastAsia"/>
          <w:color w:val="auto"/>
          <w:sz w:val="24"/>
          <w:highlight w:val="none"/>
        </w:rPr>
      </w:pPr>
      <w:r>
        <w:rPr>
          <w:rFonts w:eastAsiaTheme="minorEastAsia"/>
          <w:color w:val="auto"/>
          <w:sz w:val="24"/>
          <w:highlight w:val="none"/>
        </w:rPr>
        <w:t>(2)本合同通用条款第4.2一(6)款提到的委托人未按本合同专用条款的约定向受托人支付委托代理报酬；</w:t>
      </w:r>
    </w:p>
    <w:p>
      <w:pPr>
        <w:spacing w:line="360" w:lineRule="auto"/>
        <w:rPr>
          <w:rFonts w:eastAsiaTheme="minorEastAsia"/>
          <w:color w:val="auto"/>
          <w:sz w:val="24"/>
          <w:highlight w:val="none"/>
        </w:rPr>
      </w:pPr>
      <w:r>
        <w:rPr>
          <w:rFonts w:eastAsiaTheme="minorEastAsia"/>
          <w:color w:val="auto"/>
          <w:sz w:val="24"/>
          <w:highlight w:val="none"/>
        </w:rPr>
        <w:t>(3)委托人不履行合同义务或不按合同约定履行义务的其他情况。</w:t>
      </w:r>
    </w:p>
    <w:p>
      <w:pPr>
        <w:spacing w:line="360" w:lineRule="auto"/>
        <w:rPr>
          <w:rFonts w:eastAsiaTheme="minorEastAsia"/>
          <w:color w:val="auto"/>
          <w:sz w:val="24"/>
          <w:highlight w:val="none"/>
        </w:rPr>
      </w:pPr>
      <w:r>
        <w:rPr>
          <w:rFonts w:eastAsiaTheme="minorEastAsia"/>
          <w:color w:val="auto"/>
          <w:sz w:val="24"/>
          <w:highlight w:val="none"/>
        </w:rPr>
        <w:t>委托人承担违约责任，赔偿因其违约给受托人造成的经济损失，双方在本合同专用条款内约定委托人赔偿受托人损失的计算方法或委托人应当支付违约金的数额或计算方法。</w:t>
      </w:r>
    </w:p>
    <w:p>
      <w:pPr>
        <w:spacing w:line="360" w:lineRule="auto"/>
        <w:rPr>
          <w:rFonts w:eastAsiaTheme="minorEastAsia"/>
          <w:color w:val="auto"/>
          <w:sz w:val="24"/>
          <w:highlight w:val="none"/>
        </w:rPr>
      </w:pPr>
      <w:r>
        <w:rPr>
          <w:rFonts w:eastAsiaTheme="minorEastAsia"/>
          <w:color w:val="auto"/>
          <w:sz w:val="24"/>
          <w:highlight w:val="none"/>
        </w:rPr>
        <w:t>10.2受托人违约。当发生下列情况时：</w:t>
      </w:r>
    </w:p>
    <w:p>
      <w:pPr>
        <w:spacing w:line="360" w:lineRule="auto"/>
        <w:rPr>
          <w:rFonts w:eastAsiaTheme="minorEastAsia"/>
          <w:color w:val="auto"/>
          <w:sz w:val="24"/>
          <w:highlight w:val="none"/>
        </w:rPr>
      </w:pPr>
      <w:r>
        <w:rPr>
          <w:rFonts w:eastAsiaTheme="minorEastAsia"/>
          <w:color w:val="auto"/>
          <w:sz w:val="24"/>
          <w:highlight w:val="none"/>
        </w:rPr>
        <w:t>(1)本合同通用条款第5.2一(2)款提到的受托人未按本合同专用条款的约定，向委托人提供为完成招标工作的咨询服务；</w:t>
      </w:r>
    </w:p>
    <w:p>
      <w:pPr>
        <w:spacing w:line="360" w:lineRule="auto"/>
        <w:rPr>
          <w:rFonts w:eastAsiaTheme="minorEastAsia"/>
          <w:color w:val="auto"/>
          <w:sz w:val="24"/>
          <w:highlight w:val="none"/>
        </w:rPr>
      </w:pPr>
      <w:r>
        <w:rPr>
          <w:rFonts w:eastAsiaTheme="minorEastAsia"/>
          <w:color w:val="auto"/>
          <w:sz w:val="24"/>
          <w:highlight w:val="none"/>
        </w:rPr>
        <w:t>(2)本合同通用条款第5.4款提到的受托人未按本合同专用条款的约定，接受了与本合同工程建设项目有关的投标咨询业务；</w:t>
      </w:r>
    </w:p>
    <w:p>
      <w:pPr>
        <w:spacing w:line="360" w:lineRule="auto"/>
        <w:rPr>
          <w:rFonts w:eastAsiaTheme="minorEastAsia"/>
          <w:color w:val="auto"/>
          <w:sz w:val="24"/>
          <w:highlight w:val="none"/>
        </w:rPr>
      </w:pPr>
      <w:r>
        <w:rPr>
          <w:rFonts w:eastAsiaTheme="minorEastAsia"/>
          <w:color w:val="auto"/>
          <w:sz w:val="24"/>
          <w:highlight w:val="none"/>
        </w:rPr>
        <w:t>(3)本合同通用条款第5.7款提到的受托人未按本合同专用条款的约定，泄露了与本合同工程相关的任何招标资料和情况；</w:t>
      </w:r>
    </w:p>
    <w:p>
      <w:pPr>
        <w:spacing w:line="360" w:lineRule="auto"/>
        <w:rPr>
          <w:rFonts w:eastAsiaTheme="minorEastAsia"/>
          <w:color w:val="auto"/>
          <w:sz w:val="24"/>
          <w:highlight w:val="none"/>
        </w:rPr>
      </w:pPr>
      <w:r>
        <w:rPr>
          <w:rFonts w:eastAsiaTheme="minorEastAsia"/>
          <w:color w:val="auto"/>
          <w:sz w:val="24"/>
          <w:highlight w:val="none"/>
        </w:rPr>
        <w:t>(4)受托人不履行合同义务或不按合同约定履行义务的其他情况。</w:t>
      </w:r>
    </w:p>
    <w:p>
      <w:pPr>
        <w:spacing w:line="360" w:lineRule="auto"/>
        <w:rPr>
          <w:rFonts w:eastAsiaTheme="minorEastAsia"/>
          <w:color w:val="auto"/>
          <w:sz w:val="24"/>
          <w:highlight w:val="none"/>
        </w:rPr>
      </w:pPr>
      <w:r>
        <w:rPr>
          <w:rFonts w:eastAsiaTheme="minorEastAsia"/>
          <w:color w:val="auto"/>
          <w:sz w:val="24"/>
          <w:highlight w:val="none"/>
        </w:rPr>
        <w:t>受托人承担违约责任，赔偿因其违约给委托人造成的经济损失，双方在本合同专用条款内约定受托人赔偿委托人损失的计算方法或受托人应当支付违约金的数额或计算方法。</w:t>
      </w:r>
    </w:p>
    <w:p>
      <w:pPr>
        <w:spacing w:line="360" w:lineRule="auto"/>
        <w:rPr>
          <w:rFonts w:eastAsiaTheme="minorEastAsia"/>
          <w:color w:val="auto"/>
          <w:sz w:val="24"/>
          <w:highlight w:val="none"/>
        </w:rPr>
      </w:pPr>
      <w:r>
        <w:rPr>
          <w:rFonts w:eastAsiaTheme="minorEastAsia"/>
          <w:color w:val="auto"/>
          <w:sz w:val="24"/>
          <w:highlight w:val="none"/>
        </w:rPr>
        <w:t>10.3第三方违约。如果一方的违约被认定为是与第三方共同造成的，则应由合同双方中有违约的一方先行向另一方承担全部违约责任，再由承担违约责任的一方向第三方追索。</w:t>
      </w:r>
    </w:p>
    <w:p>
      <w:pPr>
        <w:spacing w:line="360" w:lineRule="auto"/>
        <w:rPr>
          <w:rFonts w:eastAsiaTheme="minorEastAsia"/>
          <w:color w:val="auto"/>
          <w:sz w:val="24"/>
          <w:highlight w:val="none"/>
        </w:rPr>
      </w:pPr>
      <w:r>
        <w:rPr>
          <w:rFonts w:eastAsiaTheme="minorEastAsia"/>
          <w:color w:val="auto"/>
          <w:sz w:val="24"/>
          <w:highlight w:val="none"/>
        </w:rPr>
        <w:t>11、索赔</w:t>
      </w:r>
    </w:p>
    <w:p>
      <w:pPr>
        <w:spacing w:line="360" w:lineRule="auto"/>
        <w:rPr>
          <w:rFonts w:eastAsiaTheme="minorEastAsia"/>
          <w:color w:val="auto"/>
          <w:sz w:val="24"/>
          <w:highlight w:val="none"/>
        </w:rPr>
      </w:pPr>
      <w:r>
        <w:rPr>
          <w:rFonts w:eastAsiaTheme="minorEastAsia"/>
          <w:color w:val="auto"/>
          <w:sz w:val="24"/>
          <w:highlight w:val="none"/>
        </w:rPr>
        <w:t>11.1当事人一方向另一方提出索赔时，要有正当的索赔理由，且有索赔事件发生时的有效证据。</w:t>
      </w:r>
    </w:p>
    <w:p>
      <w:pPr>
        <w:spacing w:line="360" w:lineRule="auto"/>
        <w:rPr>
          <w:rFonts w:eastAsiaTheme="minorEastAsia"/>
          <w:color w:val="auto"/>
          <w:sz w:val="24"/>
          <w:highlight w:val="none"/>
        </w:rPr>
      </w:pPr>
      <w:r>
        <w:rPr>
          <w:rFonts w:eastAsiaTheme="minorEastAsia"/>
          <w:color w:val="auto"/>
          <w:sz w:val="24"/>
          <w:highlight w:val="none"/>
        </w:rPr>
        <w:t>11.2委托人未能按合同约定履行自己的各项义务，或者发生应由委托人承担责任的其他情况，给受托人造成损失，受托人可按下列程序以书面形式向委托人索赔：</w:t>
      </w:r>
    </w:p>
    <w:p>
      <w:pPr>
        <w:spacing w:line="360" w:lineRule="auto"/>
        <w:rPr>
          <w:rFonts w:eastAsiaTheme="minorEastAsia"/>
          <w:color w:val="auto"/>
          <w:sz w:val="24"/>
          <w:highlight w:val="none"/>
        </w:rPr>
      </w:pPr>
      <w:r>
        <w:rPr>
          <w:rFonts w:eastAsiaTheme="minorEastAsia"/>
          <w:color w:val="auto"/>
          <w:sz w:val="24"/>
          <w:highlight w:val="none"/>
        </w:rPr>
        <w:t>(1)索赔事件发生后7天内，向委托人发出索赔报告及有关资料；</w:t>
      </w:r>
    </w:p>
    <w:p>
      <w:pPr>
        <w:spacing w:line="360" w:lineRule="auto"/>
        <w:rPr>
          <w:rFonts w:eastAsiaTheme="minorEastAsia"/>
          <w:color w:val="auto"/>
          <w:sz w:val="24"/>
          <w:highlight w:val="none"/>
        </w:rPr>
      </w:pPr>
      <w:r>
        <w:rPr>
          <w:rFonts w:eastAsiaTheme="minorEastAsia"/>
          <w:color w:val="auto"/>
          <w:sz w:val="24"/>
          <w:highlight w:val="none"/>
        </w:rPr>
        <w:t>(2)委托人收到受托人的索赔报告及有关资料后，于合理时间内给予答复，如受托人索赔理由和证据不齐全的，委托人有权要求受托人补齐或拒绝受托人的索赔要求；</w:t>
      </w:r>
    </w:p>
    <w:p>
      <w:pPr>
        <w:spacing w:line="360" w:lineRule="auto"/>
        <w:rPr>
          <w:rFonts w:eastAsiaTheme="minorEastAsia"/>
          <w:color w:val="auto"/>
          <w:sz w:val="24"/>
          <w:highlight w:val="none"/>
        </w:rPr>
      </w:pPr>
      <w:r>
        <w:rPr>
          <w:rFonts w:eastAsiaTheme="minorEastAsia"/>
          <w:color w:val="auto"/>
          <w:sz w:val="24"/>
          <w:highlight w:val="none"/>
        </w:rPr>
        <w:t>(3)委托人在接收受托人送交的索赔报告和有关资料后7天内未予答复，或未对受托人作进一步要求，受托人可采用法律手段。</w:t>
      </w:r>
    </w:p>
    <w:p>
      <w:pPr>
        <w:spacing w:line="360" w:lineRule="auto"/>
        <w:rPr>
          <w:rFonts w:eastAsiaTheme="minorEastAsia"/>
          <w:color w:val="auto"/>
          <w:sz w:val="24"/>
          <w:highlight w:val="none"/>
        </w:rPr>
      </w:pPr>
      <w:r>
        <w:rPr>
          <w:rFonts w:eastAsiaTheme="minorEastAsia"/>
          <w:color w:val="auto"/>
          <w:sz w:val="24"/>
          <w:highlight w:val="none"/>
        </w:rPr>
        <w:t>11.3受托人未能按合同约定履行自己的各项义务，或者发生应由受托人承担责任的其他情况，给委托人造成经济损失，委托人可按11.2款确定的时限和程序向受托人提出索赔。</w:t>
      </w:r>
    </w:p>
    <w:p>
      <w:pPr>
        <w:spacing w:line="360" w:lineRule="auto"/>
        <w:rPr>
          <w:rFonts w:eastAsiaTheme="minorEastAsia"/>
          <w:color w:val="auto"/>
          <w:sz w:val="24"/>
          <w:highlight w:val="none"/>
        </w:rPr>
      </w:pPr>
      <w:r>
        <w:rPr>
          <w:rFonts w:eastAsiaTheme="minorEastAsia"/>
          <w:color w:val="auto"/>
          <w:sz w:val="24"/>
          <w:highlight w:val="none"/>
        </w:rPr>
        <w:t>12、争议</w:t>
      </w:r>
    </w:p>
    <w:p>
      <w:pPr>
        <w:spacing w:line="360" w:lineRule="auto"/>
        <w:rPr>
          <w:rFonts w:eastAsiaTheme="minorEastAsia"/>
          <w:color w:val="auto"/>
          <w:sz w:val="24"/>
          <w:highlight w:val="none"/>
        </w:rPr>
      </w:pPr>
      <w:r>
        <w:rPr>
          <w:rFonts w:eastAsiaTheme="minorEastAsia"/>
          <w:color w:val="auto"/>
          <w:sz w:val="24"/>
          <w:highlight w:val="none"/>
        </w:rPr>
        <w:t>12.1委托人和受托人在履行合同时发生争议，可以和解或者向有关部门或机构申请调解。当事人不愿和解、调解或者和解、调解不成的，双方可以在本合同专用条款内约定以下一种方式解决争议：</w:t>
      </w:r>
    </w:p>
    <w:p>
      <w:pPr>
        <w:spacing w:line="360" w:lineRule="auto"/>
        <w:rPr>
          <w:rFonts w:eastAsiaTheme="minorEastAsia"/>
          <w:color w:val="auto"/>
          <w:sz w:val="24"/>
          <w:highlight w:val="none"/>
        </w:rPr>
      </w:pPr>
      <w:r>
        <w:rPr>
          <w:rFonts w:eastAsiaTheme="minorEastAsia"/>
          <w:color w:val="auto"/>
          <w:sz w:val="24"/>
          <w:highlight w:val="none"/>
        </w:rPr>
        <w:t>(1) 双方达成仲裁协议，向约定的仲裁委员会申请仲裁；</w:t>
      </w:r>
    </w:p>
    <w:p>
      <w:pPr>
        <w:spacing w:line="360" w:lineRule="auto"/>
        <w:rPr>
          <w:rFonts w:eastAsiaTheme="minorEastAsia"/>
          <w:color w:val="auto"/>
          <w:sz w:val="24"/>
          <w:highlight w:val="none"/>
        </w:rPr>
      </w:pPr>
      <w:r>
        <w:rPr>
          <w:rFonts w:eastAsiaTheme="minorEastAsia"/>
          <w:color w:val="auto"/>
          <w:sz w:val="24"/>
          <w:highlight w:val="none"/>
        </w:rPr>
        <w:t>(2)向有管辖权的人民法院起诉。</w:t>
      </w:r>
    </w:p>
    <w:p>
      <w:pPr>
        <w:spacing w:line="360" w:lineRule="auto"/>
        <w:rPr>
          <w:rFonts w:eastAsiaTheme="minorEastAsia"/>
          <w:color w:val="auto"/>
          <w:sz w:val="24"/>
          <w:highlight w:val="none"/>
        </w:rPr>
      </w:pPr>
      <w:r>
        <w:rPr>
          <w:rFonts w:eastAsiaTheme="minorEastAsia"/>
          <w:color w:val="auto"/>
          <w:sz w:val="24"/>
          <w:highlight w:val="none"/>
        </w:rPr>
        <w:t>五、合同变更、生效与终止</w:t>
      </w:r>
    </w:p>
    <w:p>
      <w:pPr>
        <w:spacing w:line="360" w:lineRule="auto"/>
        <w:rPr>
          <w:rFonts w:eastAsiaTheme="minorEastAsia"/>
          <w:color w:val="auto"/>
          <w:sz w:val="24"/>
          <w:highlight w:val="none"/>
        </w:rPr>
      </w:pPr>
      <w:r>
        <w:rPr>
          <w:rFonts w:eastAsiaTheme="minorEastAsia"/>
          <w:color w:val="auto"/>
          <w:sz w:val="24"/>
          <w:highlight w:val="none"/>
        </w:rPr>
        <w:t>13、合同变更或解除</w:t>
      </w:r>
    </w:p>
    <w:p>
      <w:pPr>
        <w:spacing w:line="360" w:lineRule="auto"/>
        <w:rPr>
          <w:rFonts w:eastAsiaTheme="minorEastAsia"/>
          <w:color w:val="auto"/>
          <w:sz w:val="24"/>
          <w:highlight w:val="none"/>
        </w:rPr>
      </w:pPr>
      <w:r>
        <w:rPr>
          <w:rFonts w:eastAsiaTheme="minorEastAsia"/>
          <w:color w:val="auto"/>
          <w:sz w:val="24"/>
          <w:highlight w:val="none"/>
        </w:rPr>
        <w:t>13.1本合同签订后，由于委托人原因，使得受托人不能持续履行招标代理业务时，委托人应及时通知受托人暂停招标代理业务。当需要恢复招标代理业务时，应当在正式恢复前7天通知受托人。</w:t>
      </w:r>
    </w:p>
    <w:p>
      <w:pPr>
        <w:spacing w:line="360" w:lineRule="auto"/>
        <w:rPr>
          <w:rFonts w:eastAsiaTheme="minorEastAsia"/>
          <w:color w:val="auto"/>
          <w:sz w:val="24"/>
          <w:highlight w:val="none"/>
        </w:rPr>
      </w:pPr>
      <w:r>
        <w:rPr>
          <w:rFonts w:eastAsiaTheme="minorEastAsia"/>
          <w:color w:val="auto"/>
          <w:sz w:val="24"/>
          <w:highlight w:val="none"/>
        </w:rPr>
        <w:t>13.2本合同签订后，如因法律、行政法规发生变化或由于任何后续新颁布的法律、行政法规导致服务所需的成本或时间发生改变，则本合同约定的服务报酬和服务期限由双方签订补充协议进行相应调整。</w:t>
      </w:r>
    </w:p>
    <w:p>
      <w:pPr>
        <w:spacing w:line="360" w:lineRule="auto"/>
        <w:rPr>
          <w:rFonts w:eastAsiaTheme="minorEastAsia"/>
          <w:color w:val="auto"/>
          <w:sz w:val="24"/>
          <w:highlight w:val="none"/>
        </w:rPr>
      </w:pPr>
      <w:r>
        <w:rPr>
          <w:rFonts w:eastAsiaTheme="minorEastAsia"/>
          <w:color w:val="auto"/>
          <w:sz w:val="24"/>
          <w:highlight w:val="none"/>
        </w:rPr>
        <w:t>13.3本合同当事人一方要求变更或解除合同时，除法律、行政法规另有规定外，应与对方当事人协商一致并达成书面协议。末达成书面协议的，本合同依然有效。</w:t>
      </w:r>
    </w:p>
    <w:p>
      <w:pPr>
        <w:spacing w:line="360" w:lineRule="auto"/>
        <w:rPr>
          <w:rFonts w:eastAsiaTheme="minorEastAsia"/>
          <w:color w:val="auto"/>
          <w:sz w:val="24"/>
          <w:highlight w:val="none"/>
        </w:rPr>
      </w:pPr>
      <w:r>
        <w:rPr>
          <w:rFonts w:eastAsiaTheme="minorEastAsia"/>
          <w:color w:val="auto"/>
          <w:sz w:val="24"/>
          <w:highlight w:val="none"/>
        </w:rPr>
        <w:t>13.4因解除合同使当事人一方遭受损失的，除依法可以免除责任外，应由责任方负责赔偿对方的损失，赔偿方法与金额由双方在协议书中约定。</w:t>
      </w:r>
    </w:p>
    <w:p>
      <w:pPr>
        <w:spacing w:line="360" w:lineRule="auto"/>
        <w:rPr>
          <w:rFonts w:eastAsiaTheme="minorEastAsia"/>
          <w:color w:val="auto"/>
          <w:sz w:val="24"/>
          <w:highlight w:val="none"/>
        </w:rPr>
      </w:pPr>
      <w:r>
        <w:rPr>
          <w:rFonts w:eastAsiaTheme="minorEastAsia"/>
          <w:color w:val="auto"/>
          <w:sz w:val="24"/>
          <w:highlight w:val="none"/>
        </w:rPr>
        <w:t>14、合同生效</w:t>
      </w:r>
    </w:p>
    <w:p>
      <w:pPr>
        <w:spacing w:line="360" w:lineRule="auto"/>
        <w:rPr>
          <w:rFonts w:eastAsiaTheme="minorEastAsia"/>
          <w:color w:val="auto"/>
          <w:sz w:val="24"/>
          <w:highlight w:val="none"/>
        </w:rPr>
      </w:pPr>
      <w:r>
        <w:rPr>
          <w:rFonts w:eastAsiaTheme="minorEastAsia"/>
          <w:color w:val="auto"/>
          <w:sz w:val="24"/>
          <w:highlight w:val="none"/>
        </w:rPr>
        <w:t>14.1除生效条件双方在协议书中另有约定外，本合同自双方签字盖章之日起生效。</w:t>
      </w:r>
    </w:p>
    <w:p>
      <w:pPr>
        <w:spacing w:line="360" w:lineRule="auto"/>
        <w:rPr>
          <w:rFonts w:eastAsiaTheme="minorEastAsia"/>
          <w:color w:val="auto"/>
          <w:sz w:val="24"/>
          <w:highlight w:val="none"/>
        </w:rPr>
      </w:pPr>
      <w:r>
        <w:rPr>
          <w:rFonts w:eastAsiaTheme="minorEastAsia"/>
          <w:color w:val="auto"/>
          <w:sz w:val="24"/>
          <w:highlight w:val="none"/>
        </w:rPr>
        <w:t>15、合同终止</w:t>
      </w:r>
    </w:p>
    <w:p>
      <w:pPr>
        <w:spacing w:line="360" w:lineRule="auto"/>
        <w:rPr>
          <w:rFonts w:eastAsiaTheme="minorEastAsia"/>
          <w:color w:val="auto"/>
          <w:sz w:val="24"/>
          <w:highlight w:val="none"/>
        </w:rPr>
      </w:pPr>
      <w:r>
        <w:rPr>
          <w:rFonts w:eastAsiaTheme="minorEastAsia"/>
          <w:color w:val="auto"/>
          <w:sz w:val="24"/>
          <w:highlight w:val="none"/>
        </w:rPr>
        <w:t>15.1受托人完成委托人全部委托招标代理业务，且委托人或中标人支付了全部代理报酬(含附加服务的报酬)后本合同终止。</w:t>
      </w:r>
    </w:p>
    <w:p>
      <w:pPr>
        <w:spacing w:line="360" w:lineRule="auto"/>
        <w:rPr>
          <w:rFonts w:eastAsiaTheme="minorEastAsia"/>
          <w:color w:val="auto"/>
          <w:sz w:val="24"/>
          <w:highlight w:val="none"/>
        </w:rPr>
      </w:pPr>
      <w:r>
        <w:rPr>
          <w:rFonts w:eastAsiaTheme="minorEastAsia"/>
          <w:color w:val="auto"/>
          <w:sz w:val="24"/>
          <w:highlight w:val="none"/>
        </w:rPr>
        <w:t>15.2本合同终止并不影响各方应有的权利和应承担的义务。</w:t>
      </w:r>
    </w:p>
    <w:p>
      <w:pPr>
        <w:spacing w:line="360" w:lineRule="auto"/>
        <w:rPr>
          <w:rFonts w:eastAsiaTheme="minorEastAsia"/>
          <w:color w:val="auto"/>
          <w:sz w:val="24"/>
          <w:highlight w:val="none"/>
        </w:rPr>
      </w:pPr>
      <w:r>
        <w:rPr>
          <w:rFonts w:eastAsiaTheme="minorEastAsia"/>
          <w:color w:val="auto"/>
          <w:sz w:val="24"/>
          <w:highlight w:val="none"/>
        </w:rPr>
        <w:t>15.3</w:t>
      </w:r>
      <w:r>
        <w:rPr>
          <w:rFonts w:hint="eastAsia" w:eastAsiaTheme="minorEastAsia"/>
          <w:color w:val="auto"/>
          <w:sz w:val="24"/>
          <w:highlight w:val="none"/>
        </w:rPr>
        <w:t xml:space="preserve"> 若所代理的招标项目因故取消的，双方协商终止本合同，且按尚未发生任何招标代理工作考虑，委托人将不予支付任何代理报酬。</w:t>
      </w:r>
    </w:p>
    <w:p>
      <w:pPr>
        <w:spacing w:line="360" w:lineRule="auto"/>
        <w:rPr>
          <w:rFonts w:eastAsiaTheme="minorEastAsia"/>
          <w:color w:val="auto"/>
          <w:sz w:val="24"/>
          <w:highlight w:val="none"/>
        </w:rPr>
      </w:pPr>
      <w:r>
        <w:rPr>
          <w:rFonts w:hint="eastAsia" w:eastAsiaTheme="minorEastAsia"/>
          <w:color w:val="auto"/>
          <w:sz w:val="24"/>
          <w:highlight w:val="none"/>
        </w:rPr>
        <w:t xml:space="preserve">15.4 </w:t>
      </w:r>
      <w:r>
        <w:rPr>
          <w:rFonts w:eastAsiaTheme="minorEastAsia"/>
          <w:color w:val="auto"/>
          <w:sz w:val="24"/>
          <w:highlight w:val="none"/>
        </w:rPr>
        <w:t>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spacing w:line="360" w:lineRule="auto"/>
        <w:rPr>
          <w:rFonts w:eastAsiaTheme="minorEastAsia"/>
          <w:color w:val="auto"/>
          <w:sz w:val="24"/>
          <w:highlight w:val="none"/>
        </w:rPr>
      </w:pPr>
      <w:r>
        <w:rPr>
          <w:rFonts w:eastAsiaTheme="minorEastAsia"/>
          <w:color w:val="auto"/>
          <w:sz w:val="24"/>
          <w:highlight w:val="none"/>
        </w:rPr>
        <w:t>15.</w:t>
      </w:r>
      <w:r>
        <w:rPr>
          <w:rFonts w:hint="eastAsia" w:eastAsiaTheme="minorEastAsia"/>
          <w:color w:val="auto"/>
          <w:sz w:val="24"/>
          <w:highlight w:val="none"/>
        </w:rPr>
        <w:t>5</w:t>
      </w:r>
      <w:r>
        <w:rPr>
          <w:rFonts w:eastAsiaTheme="minorEastAsia"/>
          <w:color w:val="auto"/>
          <w:sz w:val="24"/>
          <w:highlight w:val="none"/>
        </w:rPr>
        <w:t>本合同的权利义务终止后，委托人和受托人应当遵循诚实信用原则，履行通知、协助、保密等义务。</w:t>
      </w:r>
    </w:p>
    <w:p>
      <w:pPr>
        <w:spacing w:line="360" w:lineRule="auto"/>
        <w:rPr>
          <w:rFonts w:eastAsiaTheme="minorEastAsia"/>
          <w:color w:val="auto"/>
          <w:sz w:val="24"/>
          <w:highlight w:val="none"/>
        </w:rPr>
      </w:pPr>
      <w:r>
        <w:rPr>
          <w:rFonts w:eastAsiaTheme="minorEastAsia"/>
          <w:color w:val="auto"/>
          <w:sz w:val="24"/>
          <w:highlight w:val="none"/>
        </w:rPr>
        <w:t>六、其他</w:t>
      </w:r>
    </w:p>
    <w:p>
      <w:pPr>
        <w:spacing w:line="360" w:lineRule="auto"/>
        <w:rPr>
          <w:rFonts w:eastAsiaTheme="minorEastAsia"/>
          <w:color w:val="auto"/>
          <w:sz w:val="24"/>
          <w:highlight w:val="none"/>
        </w:rPr>
      </w:pPr>
      <w:r>
        <w:rPr>
          <w:rFonts w:eastAsiaTheme="minorEastAsia"/>
          <w:color w:val="auto"/>
          <w:sz w:val="24"/>
          <w:highlight w:val="none"/>
        </w:rPr>
        <w:t>16、合同的份数</w:t>
      </w:r>
    </w:p>
    <w:p>
      <w:pPr>
        <w:spacing w:line="360" w:lineRule="auto"/>
        <w:rPr>
          <w:rFonts w:eastAsiaTheme="minorEastAsia"/>
          <w:color w:val="auto"/>
          <w:sz w:val="24"/>
          <w:highlight w:val="none"/>
        </w:rPr>
      </w:pPr>
      <w:r>
        <w:rPr>
          <w:rFonts w:eastAsiaTheme="minorEastAsia"/>
          <w:color w:val="auto"/>
          <w:sz w:val="24"/>
          <w:highlight w:val="none"/>
        </w:rPr>
        <w:t>16.1本合同正本一式两份，委托人和受托人各执一份。副本根据双方需要在本合同专用条款内约定。</w:t>
      </w:r>
    </w:p>
    <w:p>
      <w:pPr>
        <w:spacing w:line="360" w:lineRule="auto"/>
        <w:rPr>
          <w:rFonts w:eastAsiaTheme="minorEastAsia"/>
          <w:color w:val="auto"/>
          <w:sz w:val="24"/>
          <w:highlight w:val="none"/>
        </w:rPr>
      </w:pPr>
      <w:r>
        <w:rPr>
          <w:rFonts w:eastAsiaTheme="minorEastAsia"/>
          <w:color w:val="auto"/>
          <w:sz w:val="24"/>
          <w:highlight w:val="none"/>
        </w:rPr>
        <w:t>17、补充条款</w:t>
      </w:r>
    </w:p>
    <w:p>
      <w:pPr>
        <w:spacing w:line="360" w:lineRule="auto"/>
        <w:rPr>
          <w:rFonts w:eastAsiaTheme="minorEastAsia"/>
          <w:color w:val="auto"/>
          <w:sz w:val="24"/>
          <w:highlight w:val="none"/>
        </w:rPr>
      </w:pPr>
      <w:r>
        <w:rPr>
          <w:rFonts w:eastAsiaTheme="minorEastAsia"/>
          <w:color w:val="auto"/>
          <w:sz w:val="24"/>
          <w:highlight w:val="none"/>
        </w:rPr>
        <w:t>双方根据有关法律、行政法规规定，结合本合同招标工程实际，经协商一致后，可对本合同通用条款未涉及的内容进行补充。</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p>
    <w:p>
      <w:pPr>
        <w:spacing w:line="360" w:lineRule="auto"/>
        <w:jc w:val="center"/>
        <w:rPr>
          <w:rFonts w:eastAsiaTheme="minorEastAsia"/>
          <w:b/>
          <w:color w:val="auto"/>
          <w:sz w:val="24"/>
          <w:highlight w:val="none"/>
        </w:rPr>
      </w:pPr>
    </w:p>
    <w:p>
      <w:pPr>
        <w:pStyle w:val="2"/>
        <w:spacing w:before="0" w:after="0" w:line="360" w:lineRule="auto"/>
        <w:jc w:val="center"/>
        <w:rPr>
          <w:rFonts w:ascii="Times New Roman" w:hAnsi="Times New Roman" w:eastAsiaTheme="minorEastAsia"/>
          <w:b/>
          <w:color w:val="auto"/>
          <w:sz w:val="24"/>
          <w:szCs w:val="24"/>
          <w:highlight w:val="none"/>
        </w:rPr>
      </w:pPr>
      <w:r>
        <w:rPr>
          <w:rFonts w:ascii="Times New Roman" w:hAnsi="Times New Roman" w:eastAsiaTheme="minorEastAsia"/>
          <w:b/>
          <w:color w:val="auto"/>
          <w:sz w:val="24"/>
          <w:szCs w:val="24"/>
          <w:highlight w:val="none"/>
        </w:rPr>
        <w:br w:type="page"/>
      </w:r>
      <w:bookmarkStart w:id="242" w:name="_Toc29799"/>
      <w:bookmarkStart w:id="243" w:name="_Toc8094"/>
      <w:r>
        <w:rPr>
          <w:rFonts w:ascii="Times New Roman" w:hAnsi="Times New Roman" w:eastAsiaTheme="minorEastAsia"/>
          <w:color w:val="auto"/>
          <w:sz w:val="24"/>
          <w:szCs w:val="24"/>
          <w:highlight w:val="none"/>
        </w:rPr>
        <w:t>第二部分专用条款</w:t>
      </w:r>
      <w:bookmarkEnd w:id="242"/>
      <w:bookmarkEnd w:id="243"/>
    </w:p>
    <w:p>
      <w:pPr>
        <w:spacing w:line="360" w:lineRule="auto"/>
        <w:rPr>
          <w:rFonts w:eastAsiaTheme="minorEastAsia"/>
          <w:color w:val="auto"/>
          <w:sz w:val="24"/>
          <w:highlight w:val="none"/>
        </w:rPr>
      </w:pPr>
      <w:r>
        <w:rPr>
          <w:rFonts w:eastAsiaTheme="minorEastAsia"/>
          <w:color w:val="auto"/>
          <w:sz w:val="24"/>
          <w:highlight w:val="none"/>
        </w:rPr>
        <w:t>一、词语定义和适用法律</w:t>
      </w:r>
    </w:p>
    <w:p>
      <w:pPr>
        <w:spacing w:line="360" w:lineRule="auto"/>
        <w:rPr>
          <w:rFonts w:eastAsiaTheme="minorEastAsia"/>
          <w:color w:val="auto"/>
          <w:sz w:val="24"/>
          <w:highlight w:val="none"/>
        </w:rPr>
      </w:pPr>
      <w:r>
        <w:rPr>
          <w:rFonts w:eastAsiaTheme="minorEastAsia"/>
          <w:color w:val="auto"/>
          <w:sz w:val="24"/>
          <w:highlight w:val="none"/>
        </w:rPr>
        <w:t>2、合同文件及解释顺序</w:t>
      </w:r>
    </w:p>
    <w:p>
      <w:pPr>
        <w:spacing w:line="360" w:lineRule="auto"/>
        <w:rPr>
          <w:rFonts w:eastAsiaTheme="minorEastAsia"/>
          <w:color w:val="auto"/>
          <w:sz w:val="24"/>
          <w:highlight w:val="none"/>
        </w:rPr>
      </w:pPr>
      <w:r>
        <w:rPr>
          <w:rFonts w:eastAsiaTheme="minorEastAsia"/>
          <w:color w:val="auto"/>
          <w:sz w:val="24"/>
          <w:highlight w:val="none"/>
        </w:rPr>
        <w:t>2.1合同文件及解释顺序:本合同协议书—本合同专用条款—本合同通用条款。</w:t>
      </w:r>
    </w:p>
    <w:p>
      <w:pPr>
        <w:spacing w:line="360" w:lineRule="auto"/>
        <w:rPr>
          <w:rFonts w:eastAsiaTheme="minorEastAsia"/>
          <w:color w:val="auto"/>
          <w:sz w:val="24"/>
          <w:highlight w:val="none"/>
        </w:rPr>
      </w:pPr>
      <w:r>
        <w:rPr>
          <w:rFonts w:eastAsiaTheme="minorEastAsia"/>
          <w:color w:val="auto"/>
          <w:sz w:val="24"/>
          <w:highlight w:val="none"/>
        </w:rPr>
        <w:t>3、语言文字和适用法律</w:t>
      </w:r>
    </w:p>
    <w:p>
      <w:pPr>
        <w:spacing w:line="360" w:lineRule="auto"/>
        <w:rPr>
          <w:rFonts w:eastAsiaTheme="minorEastAsia"/>
          <w:color w:val="auto"/>
          <w:sz w:val="24"/>
          <w:highlight w:val="none"/>
        </w:rPr>
      </w:pPr>
      <w:r>
        <w:rPr>
          <w:rFonts w:eastAsiaTheme="minorEastAsia"/>
          <w:color w:val="auto"/>
          <w:sz w:val="24"/>
          <w:highlight w:val="none"/>
        </w:rPr>
        <w:t>3.1语言文字</w:t>
      </w:r>
    </w:p>
    <w:p>
      <w:pPr>
        <w:spacing w:line="360" w:lineRule="auto"/>
        <w:rPr>
          <w:rFonts w:eastAsiaTheme="minorEastAsia"/>
          <w:color w:val="auto"/>
          <w:sz w:val="24"/>
          <w:highlight w:val="none"/>
        </w:rPr>
      </w:pPr>
      <w:r>
        <w:rPr>
          <w:rFonts w:eastAsiaTheme="minorEastAsia"/>
          <w:color w:val="auto"/>
          <w:sz w:val="24"/>
          <w:highlight w:val="none"/>
        </w:rPr>
        <w:t>本合同采用的文字为：</w:t>
      </w:r>
      <w:r>
        <w:rPr>
          <w:rFonts w:eastAsiaTheme="minorEastAsia"/>
          <w:color w:val="auto"/>
          <w:sz w:val="24"/>
          <w:highlight w:val="none"/>
          <w:u w:val="single"/>
        </w:rPr>
        <w:t>中文</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3.2本合同需要明示的法律、行政法规：</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二、双方一般权利和义务</w:t>
      </w:r>
    </w:p>
    <w:p>
      <w:pPr>
        <w:spacing w:line="360" w:lineRule="auto"/>
        <w:rPr>
          <w:rFonts w:eastAsiaTheme="minorEastAsia"/>
          <w:color w:val="auto"/>
          <w:sz w:val="24"/>
          <w:highlight w:val="none"/>
        </w:rPr>
      </w:pPr>
      <w:r>
        <w:rPr>
          <w:rFonts w:eastAsiaTheme="minorEastAsia"/>
          <w:color w:val="auto"/>
          <w:sz w:val="24"/>
          <w:highlight w:val="none"/>
        </w:rPr>
        <w:t>4、委托人的义务</w:t>
      </w:r>
    </w:p>
    <w:p>
      <w:pPr>
        <w:pStyle w:val="8"/>
        <w:widowControl/>
        <w:spacing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4.1委托招标代理工作的具体范围和内容：</w:t>
      </w:r>
    </w:p>
    <w:p>
      <w:pPr>
        <w:pStyle w:val="8"/>
        <w:widowControl/>
        <w:spacing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4.1.1</w:t>
      </w:r>
      <w:r>
        <w:rPr>
          <w:rFonts w:hint="eastAsia" w:ascii="Times New Roman" w:hAnsi="Times New Roman" w:eastAsiaTheme="minorEastAsia"/>
          <w:color w:val="auto"/>
          <w:sz w:val="24"/>
          <w:szCs w:val="24"/>
          <w:highlight w:val="none"/>
          <w:u w:val="single"/>
        </w:rPr>
        <w:t xml:space="preserve">       </w:t>
      </w:r>
      <w:r>
        <w:rPr>
          <w:rFonts w:ascii="Times New Roman" w:hAnsi="Times New Roman" w:eastAsiaTheme="minorEastAsia"/>
          <w:b/>
          <w:color w:val="auto"/>
          <w:sz w:val="24"/>
          <w:szCs w:val="24"/>
          <w:highlight w:val="none"/>
          <w:u w:val="single"/>
        </w:rPr>
        <w:t>招标</w:t>
      </w:r>
      <w:r>
        <w:rPr>
          <w:rFonts w:ascii="Times New Roman" w:hAnsi="Times New Roman" w:eastAsiaTheme="minorEastAsia"/>
          <w:color w:val="auto"/>
          <w:sz w:val="24"/>
          <w:szCs w:val="24"/>
          <w:highlight w:val="none"/>
        </w:rPr>
        <w:t>，其中包括但不限于：</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a.招标前的准备工作（如协助招标人进行审批、报建和办理招标申请、备案手续</w:t>
      </w:r>
      <w:r>
        <w:rPr>
          <w:rFonts w:hint="eastAsia" w:eastAsiaTheme="minorEastAsia"/>
          <w:color w:val="auto"/>
          <w:sz w:val="24"/>
          <w:highlight w:val="none"/>
          <w:u w:val="single"/>
        </w:rPr>
        <w:t>）</w:t>
      </w:r>
      <w:r>
        <w:rPr>
          <w:rFonts w:eastAsiaTheme="minorEastAsia"/>
          <w:color w:val="auto"/>
          <w:sz w:val="24"/>
          <w:highlight w:val="none"/>
          <w:u w:val="single"/>
        </w:rPr>
        <w:t>；</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b.编制代理招标项目的招标工作计划；</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c.负责联系发布招标公告和中标公示；</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d.组织接收投标申请人报名；</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e.编制招标文件及评标办法；</w:t>
      </w:r>
    </w:p>
    <w:p>
      <w:pPr>
        <w:spacing w:line="360" w:lineRule="auto"/>
        <w:ind w:left="-88" w:leftChars="-42" w:firstLine="480" w:firstLineChars="200"/>
        <w:rPr>
          <w:rFonts w:eastAsiaTheme="minorEastAsia"/>
          <w:color w:val="auto"/>
          <w:sz w:val="24"/>
          <w:highlight w:val="none"/>
          <w:u w:val="single"/>
        </w:rPr>
      </w:pPr>
      <w:r>
        <w:rPr>
          <w:rFonts w:hint="eastAsia" w:eastAsiaTheme="minorEastAsia"/>
          <w:color w:val="auto"/>
          <w:sz w:val="24"/>
          <w:highlight w:val="none"/>
          <w:u w:val="single"/>
        </w:rPr>
        <w:t>f</w:t>
      </w:r>
      <w:r>
        <w:rPr>
          <w:rFonts w:eastAsiaTheme="minorEastAsia"/>
          <w:color w:val="auto"/>
          <w:sz w:val="24"/>
          <w:highlight w:val="none"/>
          <w:u w:val="single"/>
        </w:rPr>
        <w:t>.编制</w:t>
      </w:r>
      <w:r>
        <w:rPr>
          <w:rFonts w:hint="eastAsia" w:eastAsiaTheme="minorEastAsia"/>
          <w:color w:val="auto"/>
          <w:sz w:val="24"/>
          <w:highlight w:val="none"/>
          <w:u w:val="single"/>
        </w:rPr>
        <w:t>招标控制价（如有）</w:t>
      </w:r>
      <w:r>
        <w:rPr>
          <w:rFonts w:eastAsiaTheme="minorEastAsia"/>
          <w:color w:val="auto"/>
          <w:sz w:val="24"/>
          <w:highlight w:val="none"/>
          <w:u w:val="single"/>
        </w:rPr>
        <w:t>；</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g.组织招标人审查投标人资格；</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h.组织投标人进行现场勘察和招标答疑，在规定的时间内将经过审定的答疑、澄清和补充通知各个投标人并报送招标人市招标办备案；</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i.组织开标、评标会务工作；</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j.</w:t>
      </w:r>
      <w:r>
        <w:rPr>
          <w:rFonts w:hint="eastAsia" w:eastAsiaTheme="minorEastAsia"/>
          <w:color w:val="auto"/>
          <w:sz w:val="24"/>
          <w:highlight w:val="none"/>
          <w:u w:val="single"/>
        </w:rPr>
        <w:t>复核评标表格算术性，</w:t>
      </w:r>
      <w:r>
        <w:rPr>
          <w:rFonts w:eastAsiaTheme="minorEastAsia"/>
          <w:color w:val="auto"/>
          <w:sz w:val="24"/>
          <w:highlight w:val="none"/>
          <w:u w:val="single"/>
        </w:rPr>
        <w:t>整理评标报告并报送市招标办及招标人备案；</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k.负责办理中标通知书及备案手续；</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l.草拟合同并协助招标人办理合同的签订；</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m.根据委托方要求，向委托方移交有关招标工作资料；</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n.向委托人提供招标前期和招标过程中的咨询服务；</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o.负责招标文件的汇总、审核、印刷、装订、发售和解释工作；</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p.负责招标文件向有关审批部门的送审及备案等；</w:t>
      </w:r>
    </w:p>
    <w:p>
      <w:pPr>
        <w:spacing w:line="360" w:lineRule="auto"/>
        <w:ind w:left="-88" w:leftChars="-42" w:firstLine="480" w:firstLineChars="200"/>
        <w:rPr>
          <w:rFonts w:eastAsiaTheme="minorEastAsia"/>
          <w:color w:val="auto"/>
          <w:sz w:val="24"/>
          <w:highlight w:val="none"/>
        </w:rPr>
      </w:pPr>
      <w:r>
        <w:rPr>
          <w:rFonts w:eastAsiaTheme="minorEastAsia"/>
          <w:color w:val="auto"/>
          <w:sz w:val="24"/>
          <w:highlight w:val="none"/>
          <w:u w:val="single"/>
        </w:rPr>
        <w:t>q.负责与招标项目有关的其它事宜。</w:t>
      </w:r>
    </w:p>
    <w:p>
      <w:pPr>
        <w:spacing w:line="360" w:lineRule="auto"/>
        <w:rPr>
          <w:rFonts w:eastAsiaTheme="minorEastAsia"/>
          <w:color w:val="auto"/>
          <w:sz w:val="24"/>
          <w:highlight w:val="none"/>
        </w:rPr>
      </w:pPr>
      <w:r>
        <w:rPr>
          <w:rFonts w:eastAsiaTheme="minorEastAsia"/>
          <w:color w:val="auto"/>
          <w:sz w:val="24"/>
          <w:highlight w:val="none"/>
        </w:rPr>
        <w:t>4.2委托人应按约定的时间和要求完成下列工作：</w:t>
      </w:r>
    </w:p>
    <w:p>
      <w:pPr>
        <w:spacing w:line="360" w:lineRule="auto"/>
        <w:rPr>
          <w:rFonts w:eastAsiaTheme="minorEastAsia"/>
          <w:color w:val="auto"/>
          <w:sz w:val="24"/>
          <w:highlight w:val="none"/>
        </w:rPr>
      </w:pPr>
      <w:r>
        <w:rPr>
          <w:rFonts w:eastAsiaTheme="minorEastAsia"/>
          <w:color w:val="auto"/>
          <w:sz w:val="24"/>
          <w:highlight w:val="none"/>
        </w:rPr>
        <w:t>(1)向受托人提供本工程招标代理业务应具备的相关工程前期资料(如立项批准手续、规划意见书等)及资金落实情况资料的时间：</w:t>
      </w:r>
      <w:r>
        <w:rPr>
          <w:rFonts w:eastAsiaTheme="minorEastAsia"/>
          <w:color w:val="auto"/>
          <w:sz w:val="24"/>
          <w:highlight w:val="none"/>
          <w:u w:val="single"/>
        </w:rPr>
        <w:t>根据招标工作的进度安排提供</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(2)向受托人提供完成代理招标业务所需的全部资料的时间：</w:t>
      </w:r>
      <w:r>
        <w:rPr>
          <w:rFonts w:eastAsiaTheme="minorEastAsia"/>
          <w:color w:val="auto"/>
          <w:sz w:val="24"/>
          <w:highlight w:val="none"/>
          <w:u w:val="single"/>
        </w:rPr>
        <w:t>根据招标工作的进度安排提供</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(3)向受托人提供保证招标工作顺利完成的条件：</w:t>
      </w:r>
      <w:r>
        <w:rPr>
          <w:rFonts w:eastAsiaTheme="minorEastAsia"/>
          <w:color w:val="auto"/>
          <w:sz w:val="24"/>
          <w:highlight w:val="none"/>
          <w:u w:val="single"/>
        </w:rPr>
        <w:t>配合受托人的工作</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(4)指定的与受托人联系的人员</w:t>
      </w:r>
    </w:p>
    <w:p>
      <w:pPr>
        <w:spacing w:line="360" w:lineRule="auto"/>
        <w:rPr>
          <w:rFonts w:eastAsiaTheme="minorEastAsia"/>
          <w:color w:val="auto"/>
          <w:sz w:val="24"/>
          <w:highlight w:val="none"/>
        </w:rPr>
      </w:pPr>
      <w:r>
        <w:rPr>
          <w:rFonts w:eastAsiaTheme="minorEastAsia"/>
          <w:color w:val="auto"/>
          <w:sz w:val="24"/>
          <w:highlight w:val="none"/>
        </w:rPr>
        <w:t>姓名：</w:t>
      </w:r>
    </w:p>
    <w:p>
      <w:pPr>
        <w:spacing w:line="360" w:lineRule="auto"/>
        <w:rPr>
          <w:rFonts w:eastAsiaTheme="minorEastAsia"/>
          <w:color w:val="auto"/>
          <w:sz w:val="24"/>
          <w:highlight w:val="none"/>
        </w:rPr>
      </w:pPr>
      <w:r>
        <w:rPr>
          <w:rFonts w:eastAsiaTheme="minorEastAsia"/>
          <w:color w:val="auto"/>
          <w:sz w:val="24"/>
          <w:highlight w:val="none"/>
        </w:rPr>
        <w:t>职务：</w:t>
      </w:r>
    </w:p>
    <w:p>
      <w:pPr>
        <w:spacing w:line="360" w:lineRule="auto"/>
        <w:rPr>
          <w:rFonts w:eastAsiaTheme="minorEastAsia"/>
          <w:color w:val="auto"/>
          <w:sz w:val="24"/>
          <w:highlight w:val="none"/>
        </w:rPr>
      </w:pPr>
      <w:r>
        <w:rPr>
          <w:rFonts w:eastAsiaTheme="minorEastAsia"/>
          <w:color w:val="auto"/>
          <w:sz w:val="24"/>
          <w:highlight w:val="none"/>
        </w:rPr>
        <w:t>职称：</w:t>
      </w:r>
    </w:p>
    <w:p>
      <w:pPr>
        <w:spacing w:line="360" w:lineRule="auto"/>
        <w:rPr>
          <w:rFonts w:eastAsiaTheme="minorEastAsia"/>
          <w:color w:val="auto"/>
          <w:sz w:val="24"/>
          <w:highlight w:val="none"/>
        </w:rPr>
      </w:pPr>
      <w:r>
        <w:rPr>
          <w:rFonts w:eastAsiaTheme="minorEastAsia"/>
          <w:color w:val="auto"/>
          <w:sz w:val="24"/>
          <w:highlight w:val="none"/>
        </w:rPr>
        <w:t>电话：</w:t>
      </w:r>
    </w:p>
    <w:p>
      <w:pPr>
        <w:spacing w:line="360" w:lineRule="auto"/>
        <w:rPr>
          <w:rFonts w:eastAsiaTheme="minorEastAsia"/>
          <w:color w:val="auto"/>
          <w:sz w:val="24"/>
          <w:highlight w:val="none"/>
        </w:rPr>
      </w:pPr>
      <w:r>
        <w:rPr>
          <w:rFonts w:eastAsiaTheme="minorEastAsia"/>
          <w:color w:val="auto"/>
          <w:sz w:val="24"/>
          <w:highlight w:val="none"/>
        </w:rPr>
        <w:t>(5)需要与第三方协调的工作：</w:t>
      </w:r>
      <w:r>
        <w:rPr>
          <w:rFonts w:eastAsiaTheme="minorEastAsia"/>
          <w:color w:val="auto"/>
          <w:sz w:val="24"/>
          <w:highlight w:val="none"/>
          <w:u w:val="single"/>
        </w:rPr>
        <w:t>根据招标工作进度安排，协调第三方关系，配合受托人的工作</w:t>
      </w:r>
      <w:r>
        <w:rPr>
          <w:rFonts w:eastAsiaTheme="minorEastAsia"/>
          <w:color w:val="auto"/>
          <w:sz w:val="24"/>
          <w:highlight w:val="none"/>
        </w:rPr>
        <w:t>。</w:t>
      </w:r>
    </w:p>
    <w:p>
      <w:pPr>
        <w:spacing w:line="360" w:lineRule="auto"/>
        <w:rPr>
          <w:rFonts w:eastAsiaTheme="minorEastAsia"/>
          <w:color w:val="auto"/>
          <w:sz w:val="24"/>
          <w:highlight w:val="none"/>
          <w:u w:val="single"/>
        </w:rPr>
      </w:pPr>
      <w:r>
        <w:rPr>
          <w:rFonts w:eastAsiaTheme="minorEastAsia"/>
          <w:color w:val="auto"/>
          <w:sz w:val="24"/>
          <w:highlight w:val="none"/>
        </w:rPr>
        <w:t>(6)应尽的其他义务：</w:t>
      </w:r>
      <w:r>
        <w:rPr>
          <w:rFonts w:hint="eastAsia" w:ascii="宋体" w:hAnsi="宋体" w:cs="宋体"/>
          <w:color w:val="auto"/>
          <w:sz w:val="24"/>
          <w:highlight w:val="none"/>
          <w:u w:val="single"/>
        </w:rPr>
        <w:t>①</w:t>
      </w:r>
      <w:r>
        <w:rPr>
          <w:rFonts w:eastAsiaTheme="minorEastAsia"/>
          <w:color w:val="auto"/>
          <w:sz w:val="24"/>
          <w:highlight w:val="none"/>
          <w:u w:val="single"/>
        </w:rPr>
        <w:t>委托人在受托人开展招标代理业务之前应按照有关规定办全本项目招标所需的有关审批手续，使招标工作具备条件。</w:t>
      </w:r>
      <w:r>
        <w:rPr>
          <w:rFonts w:hint="eastAsia" w:ascii="宋体" w:hAnsi="宋体" w:cs="宋体"/>
          <w:color w:val="auto"/>
          <w:sz w:val="24"/>
          <w:highlight w:val="none"/>
          <w:u w:val="single"/>
        </w:rPr>
        <w:t>②</w:t>
      </w:r>
      <w:r>
        <w:rPr>
          <w:rFonts w:eastAsiaTheme="minorEastAsia"/>
          <w:color w:val="auto"/>
          <w:sz w:val="24"/>
          <w:highlight w:val="none"/>
          <w:u w:val="single"/>
        </w:rPr>
        <w:t>对受托人提出的书面要求，委托人应在合理时间内做出书面答复。如因此造成的时间延长由委托人负责。</w:t>
      </w:r>
      <w:r>
        <w:rPr>
          <w:rFonts w:hint="eastAsia" w:ascii="宋体" w:hAnsi="宋体" w:cs="宋体"/>
          <w:color w:val="auto"/>
          <w:sz w:val="24"/>
          <w:highlight w:val="none"/>
          <w:u w:val="single"/>
        </w:rPr>
        <w:t>③</w:t>
      </w:r>
      <w:r>
        <w:rPr>
          <w:rFonts w:eastAsiaTheme="minorEastAsia"/>
          <w:color w:val="auto"/>
          <w:sz w:val="24"/>
          <w:highlight w:val="none"/>
          <w:u w:val="single"/>
        </w:rPr>
        <w:t>在合同履行期间，委派熟悉业务、知晓法律法规、工作认真负责的作为委托人的代表，配合受托人工作。</w:t>
      </w:r>
      <w:r>
        <w:rPr>
          <w:rFonts w:hint="eastAsia" w:ascii="宋体" w:hAnsi="宋体" w:cs="宋体"/>
          <w:color w:val="auto"/>
          <w:sz w:val="24"/>
          <w:highlight w:val="none"/>
          <w:u w:val="single"/>
        </w:rPr>
        <w:t>④</w:t>
      </w:r>
      <w:r>
        <w:rPr>
          <w:rFonts w:eastAsiaTheme="minorEastAsia"/>
          <w:color w:val="auto"/>
          <w:sz w:val="24"/>
          <w:highlight w:val="none"/>
          <w:u w:val="single"/>
        </w:rPr>
        <w:t>委托人不得泄露依法应当保密的任何信息。</w:t>
      </w:r>
      <w:r>
        <w:rPr>
          <w:rFonts w:hint="eastAsia" w:ascii="宋体" w:hAnsi="宋体" w:cs="宋体"/>
          <w:color w:val="auto"/>
          <w:sz w:val="24"/>
          <w:highlight w:val="none"/>
          <w:u w:val="single"/>
        </w:rPr>
        <w:t>⑤</w:t>
      </w:r>
      <w:r>
        <w:rPr>
          <w:rFonts w:eastAsiaTheme="minorEastAsia"/>
          <w:color w:val="auto"/>
          <w:sz w:val="24"/>
          <w:highlight w:val="none"/>
          <w:u w:val="single"/>
        </w:rPr>
        <w:t>委托方及其工作人员，不得以任何形式向受托人收受或索要回扣、好处费等。</w:t>
      </w:r>
    </w:p>
    <w:p>
      <w:pPr>
        <w:spacing w:line="360" w:lineRule="auto"/>
        <w:rPr>
          <w:rFonts w:eastAsiaTheme="minorEastAsia"/>
          <w:color w:val="auto"/>
          <w:sz w:val="24"/>
          <w:highlight w:val="none"/>
        </w:rPr>
      </w:pPr>
      <w:r>
        <w:rPr>
          <w:rFonts w:eastAsiaTheme="minorEastAsia"/>
          <w:color w:val="auto"/>
          <w:sz w:val="24"/>
          <w:highlight w:val="none"/>
        </w:rPr>
        <w:t>5、受托人的义务</w:t>
      </w:r>
    </w:p>
    <w:p>
      <w:pPr>
        <w:spacing w:line="360" w:lineRule="auto"/>
        <w:rPr>
          <w:rFonts w:eastAsiaTheme="minorEastAsia"/>
          <w:color w:val="auto"/>
          <w:sz w:val="24"/>
          <w:highlight w:val="none"/>
        </w:rPr>
      </w:pPr>
      <w:r>
        <w:rPr>
          <w:rFonts w:eastAsiaTheme="minorEastAsia"/>
          <w:color w:val="auto"/>
          <w:sz w:val="24"/>
          <w:highlight w:val="none"/>
        </w:rPr>
        <w:t>5.1招标代理项目组人员：</w:t>
      </w:r>
    </w:p>
    <w:p>
      <w:pPr>
        <w:spacing w:line="360" w:lineRule="auto"/>
        <w:rPr>
          <w:rFonts w:eastAsiaTheme="minorEastAsia"/>
          <w:color w:val="auto"/>
          <w:sz w:val="24"/>
          <w:highlight w:val="none"/>
        </w:rPr>
      </w:pPr>
      <w:r>
        <w:rPr>
          <w:rFonts w:eastAsiaTheme="minorEastAsia"/>
          <w:color w:val="auto"/>
          <w:sz w:val="24"/>
          <w:highlight w:val="none"/>
        </w:rPr>
        <w:t>5.1.1总体联络人姓名：身份证号：</w:t>
      </w:r>
    </w:p>
    <w:p>
      <w:pPr>
        <w:spacing w:line="360" w:lineRule="auto"/>
        <w:rPr>
          <w:rFonts w:eastAsiaTheme="minorEastAsia"/>
          <w:color w:val="auto"/>
          <w:sz w:val="24"/>
          <w:highlight w:val="none"/>
          <w:u w:val="single"/>
        </w:rPr>
      </w:pPr>
      <w:r>
        <w:rPr>
          <w:rFonts w:eastAsiaTheme="minorEastAsia"/>
          <w:color w:val="auto"/>
          <w:sz w:val="24"/>
          <w:highlight w:val="none"/>
        </w:rPr>
        <w:t>5.1.2文件审核人姓名：身份证号：</w:t>
      </w:r>
    </w:p>
    <w:p>
      <w:pPr>
        <w:spacing w:line="360" w:lineRule="auto"/>
        <w:rPr>
          <w:rFonts w:eastAsiaTheme="minorEastAsia"/>
          <w:color w:val="auto"/>
          <w:sz w:val="24"/>
          <w:highlight w:val="none"/>
          <w:u w:val="single"/>
        </w:rPr>
      </w:pPr>
      <w:r>
        <w:rPr>
          <w:rFonts w:eastAsiaTheme="minorEastAsia"/>
          <w:color w:val="auto"/>
          <w:sz w:val="24"/>
          <w:highlight w:val="none"/>
        </w:rPr>
        <w:t>5.1.3文件编制人姓名：身份证号：</w:t>
      </w:r>
    </w:p>
    <w:p>
      <w:pPr>
        <w:spacing w:line="360" w:lineRule="auto"/>
        <w:rPr>
          <w:rFonts w:eastAsiaTheme="minorEastAsia"/>
          <w:color w:val="auto"/>
          <w:sz w:val="24"/>
          <w:highlight w:val="none"/>
        </w:rPr>
      </w:pPr>
      <w:r>
        <w:rPr>
          <w:rFonts w:eastAsiaTheme="minorEastAsia"/>
          <w:color w:val="auto"/>
          <w:sz w:val="24"/>
          <w:highlight w:val="none"/>
        </w:rPr>
        <w:t>5.2受托人应按约定的时间和要求完成下列工作：</w:t>
      </w:r>
    </w:p>
    <w:p>
      <w:pPr>
        <w:spacing w:line="360" w:lineRule="auto"/>
        <w:rPr>
          <w:rFonts w:eastAsiaTheme="minorEastAsia"/>
          <w:color w:val="auto"/>
          <w:sz w:val="24"/>
          <w:highlight w:val="none"/>
          <w:u w:val="single"/>
        </w:rPr>
      </w:pPr>
      <w:r>
        <w:rPr>
          <w:rFonts w:eastAsiaTheme="minorEastAsia"/>
          <w:color w:val="auto"/>
          <w:sz w:val="24"/>
          <w:highlight w:val="none"/>
        </w:rPr>
        <w:t>(1)组织招标工作的内容和时间：</w:t>
      </w:r>
      <w:r>
        <w:rPr>
          <w:rFonts w:eastAsiaTheme="minorEastAsia"/>
          <w:color w:val="auto"/>
          <w:sz w:val="24"/>
          <w:highlight w:val="none"/>
          <w:u w:val="single"/>
        </w:rPr>
        <w:t>合同签订生效，委托人将必需的完整资料提供给受托方之日起至合同备案之日止。</w:t>
      </w:r>
    </w:p>
    <w:p>
      <w:pPr>
        <w:spacing w:line="360" w:lineRule="auto"/>
        <w:rPr>
          <w:rFonts w:eastAsiaTheme="minorEastAsia"/>
          <w:color w:val="auto"/>
          <w:sz w:val="24"/>
          <w:highlight w:val="none"/>
        </w:rPr>
      </w:pPr>
      <w:r>
        <w:rPr>
          <w:rFonts w:eastAsiaTheme="minorEastAsia"/>
          <w:color w:val="auto"/>
          <w:sz w:val="24"/>
          <w:highlight w:val="none"/>
        </w:rPr>
        <w:t>(2)为招标人提供的为完成招标工作的相关咨询服务：</w:t>
      </w:r>
      <w:r>
        <w:rPr>
          <w:rFonts w:eastAsiaTheme="minorEastAsia"/>
          <w:color w:val="auto"/>
          <w:sz w:val="24"/>
          <w:highlight w:val="none"/>
          <w:u w:val="single"/>
        </w:rPr>
        <w:t>在项目招标期间，提供咨询、顾问等相关服务。</w:t>
      </w:r>
    </w:p>
    <w:p>
      <w:pPr>
        <w:spacing w:line="360" w:lineRule="auto"/>
        <w:ind w:left="-7" w:leftChars="-19" w:hanging="33" w:hangingChars="14"/>
        <w:rPr>
          <w:rFonts w:eastAsiaTheme="minorEastAsia"/>
          <w:color w:val="auto"/>
          <w:sz w:val="24"/>
          <w:highlight w:val="none"/>
        </w:rPr>
      </w:pPr>
      <w:r>
        <w:rPr>
          <w:rFonts w:eastAsiaTheme="minorEastAsia"/>
          <w:color w:val="auto"/>
          <w:sz w:val="24"/>
          <w:highlight w:val="none"/>
        </w:rPr>
        <w:t>(3)承担招标代理业务过程中，如编制招标文件、预审文件，审查投标人资格，组织投标人踏勘现场并答疑，组织开标、评标、定标，提供招标前期和执行过程中的咨询服务，印刷合同及协调合同签订等服务费用外，还应该</w:t>
      </w:r>
      <w:r>
        <w:rPr>
          <w:rFonts w:eastAsiaTheme="minorEastAsia"/>
          <w:color w:val="auto"/>
          <w:sz w:val="24"/>
          <w:highlight w:val="none"/>
          <w:u w:val="single"/>
        </w:rPr>
        <w:t>包括招标代理工作过程中发生劳务费、技术服务费、通讯、交通、办公场地、评标专家评审费、管理费、税费和利润等与业务有关的一切费用和政策性文件规定及合同包含的所有风险、责任等各项应有的费用及外地评标专家（如有）食宿费和来往交通费。</w:t>
      </w:r>
    </w:p>
    <w:p>
      <w:pPr>
        <w:spacing w:line="360" w:lineRule="auto"/>
        <w:rPr>
          <w:rFonts w:eastAsiaTheme="minorEastAsia"/>
          <w:color w:val="auto"/>
          <w:sz w:val="24"/>
          <w:highlight w:val="none"/>
          <w:u w:val="single"/>
        </w:rPr>
      </w:pPr>
      <w:r>
        <w:rPr>
          <w:rFonts w:eastAsiaTheme="minorEastAsia"/>
          <w:color w:val="auto"/>
          <w:sz w:val="24"/>
          <w:highlight w:val="none"/>
        </w:rPr>
        <w:t>(4)应尽的其他义务：</w:t>
      </w:r>
      <w:r>
        <w:rPr>
          <w:rFonts w:hint="eastAsia" w:ascii="宋体" w:hAnsi="宋体" w:cs="宋体"/>
          <w:color w:val="auto"/>
          <w:sz w:val="24"/>
          <w:highlight w:val="none"/>
          <w:u w:val="single"/>
        </w:rPr>
        <w:t>①</w:t>
      </w:r>
      <w:r>
        <w:rPr>
          <w:rFonts w:eastAsiaTheme="minorEastAsia"/>
          <w:color w:val="auto"/>
          <w:sz w:val="24"/>
          <w:highlight w:val="none"/>
          <w:u w:val="single"/>
        </w:rPr>
        <w:t>受托人工作人员如与本工程潜在投标人有任何利益关系应主动提出回避。</w:t>
      </w:r>
      <w:r>
        <w:rPr>
          <w:rFonts w:hint="eastAsia" w:ascii="宋体" w:hAnsi="宋体" w:cs="宋体"/>
          <w:color w:val="auto"/>
          <w:sz w:val="24"/>
          <w:highlight w:val="none"/>
          <w:u w:val="single"/>
        </w:rPr>
        <w:t>②</w:t>
      </w:r>
      <w:r>
        <w:rPr>
          <w:rFonts w:eastAsiaTheme="minorEastAsia"/>
          <w:color w:val="auto"/>
          <w:sz w:val="24"/>
          <w:highlight w:val="none"/>
          <w:u w:val="single"/>
        </w:rPr>
        <w:t>在代理活动中不得泄露依法应当保密的任何信息。</w:t>
      </w:r>
      <w:r>
        <w:rPr>
          <w:rFonts w:hint="eastAsia" w:ascii="宋体" w:hAnsi="宋体" w:cs="宋体"/>
          <w:color w:val="auto"/>
          <w:sz w:val="24"/>
          <w:highlight w:val="none"/>
          <w:u w:val="single"/>
        </w:rPr>
        <w:t>③</w:t>
      </w:r>
      <w:r>
        <w:rPr>
          <w:rFonts w:eastAsiaTheme="minorEastAsia"/>
          <w:color w:val="auto"/>
          <w:sz w:val="24"/>
          <w:highlight w:val="none"/>
          <w:u w:val="single"/>
        </w:rPr>
        <w:t>受托人成立项目管理机构，负责完成本合同工作内容，其项目管理机构成员未经委托人书面同意，不得更换。</w:t>
      </w:r>
      <w:r>
        <w:rPr>
          <w:rFonts w:hint="eastAsia" w:ascii="宋体" w:hAnsi="宋体" w:cs="宋体"/>
          <w:color w:val="auto"/>
          <w:sz w:val="24"/>
          <w:highlight w:val="none"/>
          <w:u w:val="single"/>
        </w:rPr>
        <w:t>④</w:t>
      </w:r>
      <w:r>
        <w:rPr>
          <w:rFonts w:eastAsiaTheme="minorEastAsia"/>
          <w:color w:val="auto"/>
          <w:sz w:val="24"/>
          <w:highlight w:val="none"/>
          <w:u w:val="single"/>
        </w:rPr>
        <w:t>因受托人的单方过失给委托人造成损失，应当向委托人进行赔偿并消除影响。</w:t>
      </w:r>
      <w:r>
        <w:rPr>
          <w:rFonts w:hint="eastAsia" w:ascii="宋体" w:hAnsi="宋体" w:cs="宋体"/>
          <w:color w:val="auto"/>
          <w:sz w:val="24"/>
          <w:highlight w:val="none"/>
          <w:u w:val="single"/>
        </w:rPr>
        <w:t>⑤</w:t>
      </w:r>
      <w:r>
        <w:rPr>
          <w:rFonts w:eastAsiaTheme="minorEastAsia"/>
          <w:color w:val="auto"/>
          <w:sz w:val="24"/>
          <w:highlight w:val="none"/>
          <w:u w:val="single"/>
        </w:rPr>
        <w:t>因不可抗力导致本合同不能全部或部分履行，受托人不承担责任。</w:t>
      </w:r>
      <w:r>
        <w:rPr>
          <w:rFonts w:hint="eastAsia" w:ascii="宋体" w:hAnsi="宋体" w:cs="宋体"/>
          <w:color w:val="auto"/>
          <w:sz w:val="24"/>
          <w:highlight w:val="none"/>
          <w:u w:val="single"/>
        </w:rPr>
        <w:t>⑥</w:t>
      </w:r>
      <w:r>
        <w:rPr>
          <w:rFonts w:eastAsiaTheme="minorEastAsia"/>
          <w:color w:val="auto"/>
          <w:sz w:val="24"/>
          <w:highlight w:val="none"/>
          <w:u w:val="single"/>
        </w:rPr>
        <w:t>受托人不得采用行贿、给予其他利益或者诋毁他人等不正当手段进行竞争。</w:t>
      </w:r>
    </w:p>
    <w:p>
      <w:pPr>
        <w:spacing w:line="360" w:lineRule="auto"/>
        <w:rPr>
          <w:rFonts w:eastAsiaTheme="minorEastAsia"/>
          <w:color w:val="auto"/>
          <w:sz w:val="24"/>
          <w:highlight w:val="none"/>
        </w:rPr>
      </w:pPr>
      <w:r>
        <w:rPr>
          <w:rFonts w:eastAsiaTheme="minorEastAsia"/>
          <w:color w:val="auto"/>
          <w:sz w:val="24"/>
          <w:highlight w:val="none"/>
        </w:rPr>
        <w:t>6、委托人的权利</w:t>
      </w:r>
    </w:p>
    <w:p>
      <w:pPr>
        <w:spacing w:line="360" w:lineRule="auto"/>
        <w:rPr>
          <w:rFonts w:eastAsiaTheme="minorEastAsia"/>
          <w:color w:val="auto"/>
          <w:sz w:val="24"/>
          <w:highlight w:val="none"/>
        </w:rPr>
      </w:pPr>
      <w:r>
        <w:rPr>
          <w:rFonts w:eastAsiaTheme="minorEastAsia"/>
          <w:color w:val="auto"/>
          <w:sz w:val="24"/>
          <w:highlight w:val="none"/>
        </w:rPr>
        <w:t>6.1委托人拥有的权利：</w:t>
      </w:r>
    </w:p>
    <w:p>
      <w:pPr>
        <w:spacing w:line="360" w:lineRule="auto"/>
        <w:rPr>
          <w:rFonts w:eastAsiaTheme="minorEastAsia"/>
          <w:color w:val="auto"/>
          <w:sz w:val="24"/>
          <w:highlight w:val="none"/>
          <w:u w:val="single"/>
        </w:rPr>
      </w:pPr>
      <w:r>
        <w:rPr>
          <w:rFonts w:eastAsiaTheme="minorEastAsia"/>
          <w:color w:val="auto"/>
          <w:sz w:val="24"/>
          <w:highlight w:val="none"/>
        </w:rPr>
        <w:t>委托人拥有的其他权利：</w:t>
      </w:r>
      <w:r>
        <w:rPr>
          <w:rFonts w:hint="eastAsia" w:ascii="宋体" w:hAnsi="宋体" w:cs="宋体"/>
          <w:color w:val="auto"/>
          <w:sz w:val="24"/>
          <w:highlight w:val="none"/>
          <w:u w:val="single"/>
        </w:rPr>
        <w:t>①</w:t>
      </w:r>
      <w:r>
        <w:rPr>
          <w:rFonts w:eastAsiaTheme="minorEastAsia"/>
          <w:color w:val="auto"/>
          <w:sz w:val="24"/>
          <w:highlight w:val="none"/>
          <w:u w:val="single"/>
        </w:rPr>
        <w:t>委托人有权参与受托人开展的和本项目有关的招投标的有关活动；</w:t>
      </w:r>
      <w:r>
        <w:rPr>
          <w:rFonts w:hint="eastAsia" w:ascii="宋体" w:hAnsi="宋体" w:cs="宋体"/>
          <w:color w:val="auto"/>
          <w:sz w:val="24"/>
          <w:highlight w:val="none"/>
          <w:u w:val="single"/>
        </w:rPr>
        <w:t>②</w:t>
      </w:r>
      <w:r>
        <w:rPr>
          <w:rFonts w:eastAsiaTheme="minorEastAsia"/>
          <w:color w:val="auto"/>
          <w:sz w:val="24"/>
          <w:highlight w:val="none"/>
          <w:u w:val="single"/>
        </w:rPr>
        <w:t>委托人有权要求受托人更换项目负责人和应回避的人员；</w:t>
      </w:r>
      <w:r>
        <w:rPr>
          <w:rFonts w:hint="eastAsia" w:ascii="宋体" w:hAnsi="宋体" w:cs="宋体"/>
          <w:color w:val="auto"/>
          <w:sz w:val="24"/>
          <w:highlight w:val="none"/>
          <w:u w:val="single"/>
        </w:rPr>
        <w:t>③</w:t>
      </w:r>
      <w:r>
        <w:rPr>
          <w:rFonts w:eastAsiaTheme="minorEastAsia"/>
          <w:color w:val="auto"/>
          <w:sz w:val="24"/>
          <w:highlight w:val="none"/>
          <w:u w:val="single"/>
        </w:rPr>
        <w:t>委托人有权确定受托人的具体工作内容；</w:t>
      </w:r>
      <w:r>
        <w:rPr>
          <w:rFonts w:hint="eastAsia" w:ascii="宋体" w:hAnsi="宋体" w:cs="宋体"/>
          <w:color w:val="auto"/>
          <w:sz w:val="24"/>
          <w:highlight w:val="none"/>
          <w:u w:val="single"/>
        </w:rPr>
        <w:t>④</w:t>
      </w:r>
      <w:r>
        <w:rPr>
          <w:rFonts w:eastAsiaTheme="minorEastAsia"/>
          <w:color w:val="auto"/>
          <w:sz w:val="24"/>
          <w:highlight w:val="none"/>
          <w:u w:val="single"/>
        </w:rPr>
        <w:t>如委托人或建设行政主管部门发现受托人在代理活动中违反有关的法律、法规和建设程序或越权代理的行为并经确认，委托人有权要求受托人及时纠正，如该行为多次发生，委托人有权解除合同，受托人应赔偿因违约造成委托人的直接和间接经济损失。</w:t>
      </w:r>
    </w:p>
    <w:p>
      <w:pPr>
        <w:spacing w:line="360" w:lineRule="auto"/>
        <w:rPr>
          <w:rFonts w:eastAsiaTheme="minorEastAsia"/>
          <w:color w:val="auto"/>
          <w:sz w:val="24"/>
          <w:highlight w:val="none"/>
        </w:rPr>
      </w:pPr>
      <w:r>
        <w:rPr>
          <w:rFonts w:eastAsiaTheme="minorEastAsia"/>
          <w:color w:val="auto"/>
          <w:sz w:val="24"/>
          <w:highlight w:val="none"/>
        </w:rPr>
        <w:t>三、委托代理报酬与收取</w:t>
      </w:r>
    </w:p>
    <w:p>
      <w:pPr>
        <w:spacing w:line="360" w:lineRule="auto"/>
        <w:rPr>
          <w:rFonts w:eastAsiaTheme="minorEastAsia"/>
          <w:color w:val="auto"/>
          <w:sz w:val="24"/>
          <w:highlight w:val="none"/>
        </w:rPr>
      </w:pPr>
      <w:r>
        <w:rPr>
          <w:rFonts w:eastAsiaTheme="minorEastAsia"/>
          <w:color w:val="auto"/>
          <w:sz w:val="24"/>
          <w:highlight w:val="none"/>
        </w:rPr>
        <w:t>8、委托代理报酬</w:t>
      </w:r>
    </w:p>
    <w:p>
      <w:pPr>
        <w:spacing w:line="360" w:lineRule="auto"/>
        <w:rPr>
          <w:rFonts w:eastAsiaTheme="minorEastAsia"/>
          <w:color w:val="auto"/>
          <w:sz w:val="24"/>
          <w:highlight w:val="none"/>
        </w:rPr>
      </w:pPr>
      <w:r>
        <w:rPr>
          <w:rFonts w:eastAsiaTheme="minorEastAsia"/>
          <w:color w:val="auto"/>
          <w:sz w:val="24"/>
          <w:highlight w:val="none"/>
        </w:rPr>
        <w:t>8.1代理报酬的计算方法：</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（1）招标代理服务费：</w:t>
      </w:r>
      <w:r>
        <w:rPr>
          <w:rFonts w:hint="eastAsia" w:eastAsiaTheme="minorEastAsia"/>
          <w:color w:val="auto"/>
          <w:sz w:val="24"/>
          <w:highlight w:val="none"/>
          <w:u w:val="single"/>
        </w:rPr>
        <w:t>参照</w:t>
      </w:r>
      <w:r>
        <w:rPr>
          <w:rFonts w:eastAsiaTheme="minorEastAsia"/>
          <w:color w:val="auto"/>
          <w:sz w:val="24"/>
          <w:highlight w:val="none"/>
          <w:u w:val="single"/>
        </w:rPr>
        <w:t>国家发展改革委《关于降低部分建设项目收费标准规范收费行为等有关问题的通知》（发改价格[2011]534号）规定</w:t>
      </w:r>
      <w:r>
        <w:rPr>
          <w:rFonts w:hint="eastAsia" w:eastAsiaTheme="minorEastAsia"/>
          <w:color w:val="auto"/>
          <w:sz w:val="24"/>
          <w:highlight w:val="none"/>
          <w:u w:val="single"/>
        </w:rPr>
        <w:t>。招标代理服务费=各项目的实际中标金额×招标代理服务费收费标准×（1-招标代理服务费比选下浮费率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w:t>
      </w:r>
      <w:r>
        <w:rPr>
          <w:rFonts w:hint="eastAsia" w:eastAsiaTheme="minorEastAsia"/>
          <w:color w:val="auto"/>
          <w:sz w:val="24"/>
          <w:highlight w:val="none"/>
        </w:rPr>
        <w:t>2</w:t>
      </w:r>
      <w:r>
        <w:rPr>
          <w:rFonts w:eastAsiaTheme="minorEastAsia"/>
          <w:color w:val="auto"/>
          <w:sz w:val="24"/>
          <w:highlight w:val="none"/>
        </w:rPr>
        <w:t>）</w:t>
      </w:r>
      <w:r>
        <w:rPr>
          <w:rFonts w:hint="eastAsia" w:eastAsiaTheme="minorEastAsia"/>
          <w:color w:val="auto"/>
          <w:sz w:val="24"/>
          <w:highlight w:val="none"/>
          <w:u w:val="single"/>
        </w:rPr>
        <w:t>招标控制价编制服务费（如有）：招标控制价编制服务费=某招标项目的实际中标金额×招标代理服务费收费标准×（1-招标控制价编制服务费比选下浮费率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w:t>
      </w:r>
      <w:r>
        <w:rPr>
          <w:rFonts w:hint="eastAsia" w:eastAsiaTheme="minorEastAsia"/>
          <w:color w:val="auto"/>
          <w:sz w:val="24"/>
          <w:highlight w:val="none"/>
        </w:rPr>
        <w:t>3</w:t>
      </w:r>
      <w:r>
        <w:rPr>
          <w:rFonts w:eastAsiaTheme="minorEastAsia"/>
          <w:color w:val="auto"/>
          <w:sz w:val="24"/>
          <w:highlight w:val="none"/>
        </w:rPr>
        <w:t>）</w:t>
      </w:r>
      <w:r>
        <w:rPr>
          <w:color w:val="auto"/>
          <w:sz w:val="24"/>
          <w:highlight w:val="none"/>
        </w:rPr>
        <w:t>若有</w:t>
      </w:r>
      <w:r>
        <w:rPr>
          <w:rFonts w:hint="eastAsia" w:eastAsiaTheme="minorEastAsia"/>
          <w:color w:val="auto"/>
          <w:sz w:val="24"/>
          <w:highlight w:val="none"/>
        </w:rPr>
        <w:t>项目因流标</w:t>
      </w:r>
      <w:r>
        <w:rPr>
          <w:color w:val="auto"/>
          <w:sz w:val="24"/>
          <w:highlight w:val="none"/>
        </w:rPr>
        <w:t>改为直接委托时，该标段的招标代理服务费</w:t>
      </w:r>
      <w:r>
        <w:rPr>
          <w:rFonts w:hint="eastAsia" w:eastAsiaTheme="minorEastAsia"/>
          <w:color w:val="auto"/>
          <w:sz w:val="24"/>
          <w:highlight w:val="none"/>
        </w:rPr>
        <w:t>和招标控制价编制服务费（如有）</w:t>
      </w:r>
      <w:r>
        <w:rPr>
          <w:color w:val="auto"/>
          <w:sz w:val="24"/>
          <w:highlight w:val="none"/>
        </w:rPr>
        <w:t>以所对应标段的合同金额为计算基数，按前述费用计算方式计取。</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u w:val="single"/>
        </w:rPr>
        <w:t>本项目招标代理服务费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暂定</w:t>
      </w:r>
      <w:r>
        <w:rPr>
          <w:rFonts w:hint="eastAsia"/>
          <w:color w:val="auto"/>
          <w:sz w:val="24"/>
          <w:highlight w:val="none"/>
          <w:u w:val="single"/>
        </w:rPr>
        <w:t>不含税价为（大写）                    （¥       ），增值税税率为     ，税额为¥       ，含税总价为（大写）    （¥      ）</w:t>
      </w:r>
      <w:r>
        <w:rPr>
          <w:rFonts w:hint="eastAsia" w:eastAsiaTheme="minorEastAsia"/>
          <w:color w:val="auto"/>
          <w:sz w:val="24"/>
          <w:highlight w:val="none"/>
          <w:u w:val="single"/>
        </w:rPr>
        <w:t>，</w:t>
      </w:r>
      <w:r>
        <w:rPr>
          <w:rFonts w:eastAsiaTheme="minorEastAsia"/>
          <w:color w:val="auto"/>
          <w:sz w:val="24"/>
          <w:highlight w:val="none"/>
          <w:u w:val="single"/>
        </w:rPr>
        <w:t>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分别以本项目委托范围内的各标段中标金额为计算基数，按差额定率累进法，分别计算各标段招标代理服务费。</w:t>
      </w:r>
    </w:p>
    <w:p>
      <w:pPr>
        <w:spacing w:line="360" w:lineRule="auto"/>
        <w:jc w:val="center"/>
        <w:rPr>
          <w:rFonts w:eastAsiaTheme="minorEastAsia"/>
          <w:b/>
          <w:color w:val="auto"/>
          <w:sz w:val="24"/>
          <w:highlight w:val="none"/>
        </w:rPr>
      </w:pPr>
      <w:r>
        <w:rPr>
          <w:rFonts w:eastAsiaTheme="minorEastAsia"/>
          <w:b/>
          <w:color w:val="auto"/>
          <w:sz w:val="24"/>
          <w:highlight w:val="none"/>
        </w:rPr>
        <w:t>招标代理服务收费标准</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tcBorders>
              <w:top w:val="single" w:color="auto" w:sz="4" w:space="0"/>
              <w:left w:val="single" w:color="auto" w:sz="4" w:space="0"/>
              <w:bottom w:val="single" w:color="auto" w:sz="4" w:space="0"/>
              <w:right w:val="single" w:color="auto" w:sz="4" w:space="0"/>
            </w:tcBorders>
          </w:tcPr>
          <w:p>
            <w:pPr>
              <w:widowControl/>
              <w:jc w:val="left"/>
              <w:rPr>
                <w:rFonts w:eastAsiaTheme="minorEastAsia"/>
                <w:color w:val="auto"/>
                <w:kern w:val="0"/>
                <w:sz w:val="24"/>
                <w:highlight w:val="none"/>
              </w:rPr>
            </w:pPr>
            <w:r>
              <w:rPr>
                <w:rFonts w:eastAsiaTheme="minorEastAsia"/>
                <w:color w:val="auto"/>
                <w:kern w:val="0"/>
                <w:sz w:val="24"/>
                <w:highlight w:val="none"/>
              </w:rPr>
              <w:t>　　服务类型</w:t>
            </w:r>
          </w:p>
          <w:p>
            <w:pPr>
              <w:widowControl/>
              <w:jc w:val="left"/>
              <w:rPr>
                <w:rFonts w:eastAsiaTheme="minorEastAsia"/>
                <w:color w:val="auto"/>
                <w:kern w:val="0"/>
                <w:sz w:val="24"/>
                <w:highlight w:val="none"/>
              </w:rPr>
            </w:pPr>
            <w:r>
              <w:rPr>
                <w:rFonts w:eastAsiaTheme="minorEastAsia"/>
                <w:color w:val="auto"/>
                <w:kern w:val="0"/>
                <w:sz w:val="24"/>
                <w:highlight w:val="none"/>
              </w:rPr>
              <w:t>　　费率（%）</w:t>
            </w:r>
          </w:p>
          <w:p>
            <w:pPr>
              <w:widowControl/>
              <w:jc w:val="left"/>
              <w:rPr>
                <w:rFonts w:eastAsiaTheme="minorEastAsia"/>
                <w:color w:val="auto"/>
                <w:kern w:val="0"/>
                <w:sz w:val="24"/>
                <w:highlight w:val="none"/>
              </w:rPr>
            </w:pPr>
            <w:r>
              <w:rPr>
                <w:rFonts w:eastAsiaTheme="minorEastAsia"/>
                <w:color w:val="auto"/>
                <w:kern w:val="0"/>
                <w:sz w:val="24"/>
                <w:highlight w:val="none"/>
              </w:rPr>
              <w:t>　　中标金额（万元）</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货物招标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服务招标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100以下</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100-500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500-1000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0.45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1000-5000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5000-10000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10000-50000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50000-100000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100000-500000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500000-1000000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1000000以上</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r>
    </w:tbl>
    <w:p>
      <w:pPr>
        <w:spacing w:line="360" w:lineRule="auto"/>
        <w:rPr>
          <w:rFonts w:eastAsiaTheme="minorEastAsia"/>
          <w:color w:val="auto"/>
          <w:sz w:val="24"/>
          <w:highlight w:val="none"/>
        </w:rPr>
      </w:pPr>
      <w:r>
        <w:rPr>
          <w:rFonts w:eastAsiaTheme="minorEastAsia"/>
          <w:color w:val="auto"/>
          <w:sz w:val="24"/>
          <w:highlight w:val="none"/>
        </w:rPr>
        <w:t>代理报酬的币种：</w:t>
      </w:r>
      <w:r>
        <w:rPr>
          <w:rFonts w:eastAsiaTheme="minorEastAsia"/>
          <w:color w:val="auto"/>
          <w:sz w:val="24"/>
          <w:highlight w:val="none"/>
          <w:u w:val="single"/>
        </w:rPr>
        <w:t>人民币</w:t>
      </w:r>
    </w:p>
    <w:p>
      <w:pPr>
        <w:spacing w:line="360" w:lineRule="auto"/>
        <w:rPr>
          <w:rFonts w:eastAsiaTheme="minorEastAsia"/>
          <w:color w:val="auto"/>
          <w:sz w:val="24"/>
          <w:highlight w:val="none"/>
        </w:rPr>
      </w:pPr>
      <w:r>
        <w:rPr>
          <w:rFonts w:eastAsiaTheme="minorEastAsia"/>
          <w:color w:val="auto"/>
          <w:sz w:val="24"/>
          <w:highlight w:val="none"/>
        </w:rPr>
        <w:t>代理报酬的支付方式：</w:t>
      </w:r>
      <w:r>
        <w:rPr>
          <w:rFonts w:eastAsiaTheme="minorEastAsia"/>
          <w:color w:val="auto"/>
          <w:sz w:val="24"/>
          <w:highlight w:val="none"/>
          <w:u w:val="single"/>
        </w:rPr>
        <w:t>委托人在中标通知书发出后支付受托人90%的代理报酬，受托人</w:t>
      </w:r>
      <w:r>
        <w:rPr>
          <w:rFonts w:hint="eastAsia" w:eastAsiaTheme="minorEastAsia"/>
          <w:color w:val="auto"/>
          <w:sz w:val="24"/>
          <w:highlight w:val="none"/>
          <w:u w:val="single"/>
        </w:rPr>
        <w:t>工作成果得到委托人及相关部门认可后（认可依据材料：招标项目合同、中标通知书）按结算相关管理办法进行结算，委托人根据审核结果向受托人支付本项目剩余代理报酬，如需行政监管部门审核，则以桂林市审计局的审计结果或桂林市财政投资评审中心的审核结算作为竣工结算的依据。</w:t>
      </w:r>
    </w:p>
    <w:p>
      <w:pPr>
        <w:spacing w:line="360" w:lineRule="auto"/>
        <w:rPr>
          <w:rFonts w:eastAsiaTheme="minorEastAsia"/>
          <w:color w:val="auto"/>
          <w:sz w:val="24"/>
          <w:highlight w:val="none"/>
        </w:rPr>
      </w:pPr>
      <w:r>
        <w:rPr>
          <w:rFonts w:eastAsiaTheme="minorEastAsia"/>
          <w:color w:val="auto"/>
          <w:sz w:val="24"/>
          <w:highlight w:val="none"/>
        </w:rPr>
        <w:t>四、违约、索赔和争议</w:t>
      </w:r>
    </w:p>
    <w:p>
      <w:pPr>
        <w:spacing w:line="360" w:lineRule="auto"/>
        <w:rPr>
          <w:rFonts w:eastAsiaTheme="minorEastAsia"/>
          <w:color w:val="auto"/>
          <w:sz w:val="24"/>
          <w:highlight w:val="none"/>
        </w:rPr>
      </w:pPr>
      <w:r>
        <w:rPr>
          <w:rFonts w:eastAsiaTheme="minorEastAsia"/>
          <w:color w:val="auto"/>
          <w:sz w:val="24"/>
          <w:highlight w:val="none"/>
        </w:rPr>
        <w:t>10、违约</w:t>
      </w:r>
    </w:p>
    <w:p>
      <w:pPr>
        <w:spacing w:line="360" w:lineRule="auto"/>
        <w:rPr>
          <w:rFonts w:eastAsiaTheme="minorEastAsia"/>
          <w:color w:val="auto"/>
          <w:sz w:val="24"/>
          <w:highlight w:val="none"/>
        </w:rPr>
      </w:pPr>
      <w:r>
        <w:rPr>
          <w:rFonts w:eastAsiaTheme="minorEastAsia"/>
          <w:color w:val="auto"/>
          <w:sz w:val="24"/>
          <w:highlight w:val="none"/>
        </w:rPr>
        <w:t>10.1本合同关于委托人违约的具体责任：</w:t>
      </w:r>
    </w:p>
    <w:p>
      <w:pPr>
        <w:spacing w:line="360" w:lineRule="auto"/>
        <w:rPr>
          <w:rFonts w:eastAsiaTheme="minorEastAsia"/>
          <w:color w:val="auto"/>
          <w:sz w:val="24"/>
          <w:highlight w:val="none"/>
        </w:rPr>
      </w:pPr>
      <w:r>
        <w:rPr>
          <w:rFonts w:eastAsiaTheme="minorEastAsia"/>
          <w:color w:val="auto"/>
          <w:sz w:val="24"/>
          <w:highlight w:val="none"/>
        </w:rPr>
        <w:t>(1)委托人未按照本合同通用条款第4.2一(3)款的约定，向受托人提供保证招标工作顺利完成的条件应承担的违约责任：</w:t>
      </w:r>
      <w:r>
        <w:rPr>
          <w:rFonts w:eastAsiaTheme="minorEastAsia"/>
          <w:color w:val="auto"/>
          <w:sz w:val="24"/>
          <w:highlight w:val="none"/>
          <w:u w:val="single"/>
        </w:rPr>
        <w:t>工作时间顺延</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(2)委托人未按本合同通用条款第4.2一(6)款的约定，向受托人支付委托代理报酬应承担的违约责任：</w:t>
      </w:r>
      <w:r>
        <w:rPr>
          <w:rFonts w:eastAsiaTheme="minorEastAsia"/>
          <w:color w:val="auto"/>
          <w:sz w:val="24"/>
          <w:highlight w:val="none"/>
          <w:u w:val="single"/>
        </w:rPr>
        <w:t>自规定支付之日起一个月内支付，每拖延一日支付，按照拖欠酬金的千分之二向委托人承担违约责任</w:t>
      </w:r>
      <w:r>
        <w:rPr>
          <w:rFonts w:eastAsiaTheme="minorEastAsia"/>
          <w:color w:val="auto"/>
          <w:sz w:val="24"/>
          <w:highlight w:val="none"/>
        </w:rPr>
        <w:t>；</w:t>
      </w:r>
    </w:p>
    <w:p>
      <w:pPr>
        <w:spacing w:line="360" w:lineRule="auto"/>
        <w:rPr>
          <w:rFonts w:eastAsiaTheme="minorEastAsia"/>
          <w:color w:val="auto"/>
          <w:sz w:val="24"/>
          <w:highlight w:val="none"/>
          <w:u w:val="single"/>
        </w:rPr>
      </w:pPr>
      <w:r>
        <w:rPr>
          <w:rFonts w:eastAsiaTheme="minorEastAsia"/>
          <w:color w:val="auto"/>
          <w:sz w:val="24"/>
          <w:highlight w:val="none"/>
        </w:rPr>
        <w:t>(3)双方约定的委托人的其他违约责任：</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 xml:space="preserve"> 10.2本合同关于受托人违约的具体责任：</w:t>
      </w:r>
    </w:p>
    <w:p>
      <w:pPr>
        <w:spacing w:line="360" w:lineRule="auto"/>
        <w:rPr>
          <w:rFonts w:eastAsiaTheme="minorEastAsia"/>
          <w:color w:val="auto"/>
          <w:sz w:val="24"/>
          <w:highlight w:val="none"/>
        </w:rPr>
      </w:pPr>
      <w:r>
        <w:rPr>
          <w:rFonts w:eastAsiaTheme="minorEastAsia"/>
          <w:color w:val="auto"/>
          <w:sz w:val="24"/>
          <w:highlight w:val="none"/>
        </w:rPr>
        <w:t>(1)受托人未按照本合同通用条款第5.2一(2)款的约定，向委托人提供未完成招标工作的咨询服务应承担的违约责任：</w:t>
      </w:r>
      <w:r>
        <w:rPr>
          <w:rFonts w:eastAsiaTheme="minorEastAsia"/>
          <w:color w:val="auto"/>
          <w:sz w:val="24"/>
          <w:highlight w:val="none"/>
          <w:u w:val="single"/>
        </w:rPr>
        <w:t>未按时完成每天罚扣应支付代理服务费的千分之二</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(2)受托人违反本合同通用条款第5.4款的约定，接受了与本合同工程建设项目有关的投标咨询业务应承担的违约责任：</w:t>
      </w:r>
      <w:r>
        <w:rPr>
          <w:rFonts w:eastAsiaTheme="minorEastAsia"/>
          <w:color w:val="auto"/>
          <w:sz w:val="24"/>
          <w:highlight w:val="none"/>
          <w:u w:val="single"/>
        </w:rPr>
        <w:t>委托人有权解除本合同并要求受托人支付因此造成的全部损失（包括直接的及间接的损失），并承担法律责任</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(3)受托人违反本合同通用条款第5.7款的约定，泄露了与本合同工程相关的任何不应泄露的招标资料和情况应承担的违约责任：</w:t>
      </w:r>
      <w:r>
        <w:rPr>
          <w:rFonts w:eastAsiaTheme="minorEastAsia"/>
          <w:color w:val="auto"/>
          <w:sz w:val="24"/>
          <w:highlight w:val="none"/>
          <w:u w:val="single"/>
        </w:rPr>
        <w:t>赔偿委托人因此而造成的全部损失（包括直接的及间接的损失），并承担法律责任</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(4)受托人应确保项目组人员到位，承担人员缺失的违约责任：</w:t>
      </w:r>
      <w:r>
        <w:rPr>
          <w:rFonts w:eastAsiaTheme="minorEastAsia"/>
          <w:color w:val="auto"/>
          <w:sz w:val="24"/>
          <w:highlight w:val="none"/>
          <w:u w:val="single"/>
        </w:rPr>
        <w:t>项目组人员未向委托人请假，擅自离开</w:t>
      </w:r>
      <w:r>
        <w:rPr>
          <w:rFonts w:hint="eastAsia" w:eastAsiaTheme="minorEastAsia"/>
          <w:color w:val="auto"/>
          <w:sz w:val="24"/>
          <w:highlight w:val="none"/>
          <w:u w:val="single"/>
        </w:rPr>
        <w:t>桂林</w:t>
      </w:r>
      <w:r>
        <w:rPr>
          <w:rFonts w:eastAsiaTheme="minorEastAsia"/>
          <w:color w:val="auto"/>
          <w:sz w:val="24"/>
          <w:highlight w:val="none"/>
          <w:u w:val="single"/>
        </w:rPr>
        <w:t>的按每人每天罚扣应支付代理服务费的千分之二；未经委托人同意擅自更换项目组人员的，第5.1.1和5.1.2款的人员按每人每次罚扣10000元，其余人员按每人每次罚扣3000元</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(5)双方约定的受托人的其他违约责任：</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12、争议</w:t>
      </w:r>
    </w:p>
    <w:p>
      <w:pPr>
        <w:spacing w:line="360" w:lineRule="auto"/>
        <w:rPr>
          <w:rFonts w:eastAsiaTheme="minorEastAsia"/>
          <w:color w:val="auto"/>
          <w:sz w:val="24"/>
          <w:highlight w:val="none"/>
        </w:rPr>
      </w:pPr>
      <w:r>
        <w:rPr>
          <w:rFonts w:eastAsiaTheme="minorEastAsia"/>
          <w:color w:val="auto"/>
          <w:sz w:val="24"/>
          <w:highlight w:val="none"/>
        </w:rPr>
        <w:t>12.1双方约定，凡因执行本合同所发生的与本合同有关的一切争议时，由当地建设行政主管部门进行调解，当和解或调解不成时，可选择（2）方式解决：</w:t>
      </w:r>
    </w:p>
    <w:p>
      <w:pPr>
        <w:spacing w:line="360" w:lineRule="auto"/>
        <w:rPr>
          <w:rFonts w:eastAsiaTheme="minorEastAsia"/>
          <w:color w:val="auto"/>
          <w:sz w:val="24"/>
          <w:highlight w:val="none"/>
        </w:rPr>
      </w:pPr>
      <w:r>
        <w:rPr>
          <w:rFonts w:eastAsiaTheme="minorEastAsia"/>
          <w:color w:val="auto"/>
          <w:sz w:val="24"/>
          <w:highlight w:val="none"/>
        </w:rPr>
        <w:t>(1)将协议提交</w:t>
      </w:r>
      <w:r>
        <w:rPr>
          <w:rFonts w:hint="eastAsia" w:eastAsiaTheme="minorEastAsia"/>
          <w:color w:val="auto"/>
          <w:sz w:val="24"/>
          <w:highlight w:val="none"/>
        </w:rPr>
        <w:t>桂林</w:t>
      </w:r>
      <w:r>
        <w:rPr>
          <w:rFonts w:eastAsiaTheme="minorEastAsia"/>
          <w:color w:val="auto"/>
          <w:sz w:val="24"/>
          <w:highlight w:val="none"/>
        </w:rPr>
        <w:t>仲裁委员会仲裁</w:t>
      </w:r>
    </w:p>
    <w:p>
      <w:pPr>
        <w:spacing w:line="360" w:lineRule="auto"/>
        <w:rPr>
          <w:rFonts w:eastAsiaTheme="minorEastAsia"/>
          <w:color w:val="auto"/>
          <w:sz w:val="24"/>
          <w:highlight w:val="none"/>
        </w:rPr>
      </w:pPr>
      <w:r>
        <w:rPr>
          <w:rFonts w:eastAsiaTheme="minorEastAsia"/>
          <w:color w:val="auto"/>
          <w:sz w:val="24"/>
          <w:highlight w:val="none"/>
        </w:rPr>
        <w:t>(2)依法向</w:t>
      </w:r>
      <w:r>
        <w:rPr>
          <w:rFonts w:eastAsiaTheme="minorEastAsia"/>
          <w:color w:val="auto"/>
          <w:sz w:val="24"/>
          <w:highlight w:val="none"/>
          <w:u w:val="single"/>
        </w:rPr>
        <w:t>委托人所在地</w:t>
      </w:r>
      <w:r>
        <w:rPr>
          <w:rFonts w:eastAsiaTheme="minorEastAsia"/>
          <w:color w:val="auto"/>
          <w:sz w:val="24"/>
          <w:highlight w:val="none"/>
        </w:rPr>
        <w:t>人民法院提起诉讼。</w:t>
      </w:r>
    </w:p>
    <w:p>
      <w:pPr>
        <w:spacing w:line="360" w:lineRule="auto"/>
        <w:rPr>
          <w:rFonts w:eastAsiaTheme="minorEastAsia"/>
          <w:color w:val="auto"/>
          <w:sz w:val="24"/>
          <w:highlight w:val="none"/>
        </w:rPr>
      </w:pPr>
      <w:r>
        <w:rPr>
          <w:rFonts w:eastAsiaTheme="minorEastAsia"/>
          <w:color w:val="auto"/>
          <w:sz w:val="24"/>
          <w:highlight w:val="none"/>
        </w:rPr>
        <w:t>六、其他</w:t>
      </w:r>
    </w:p>
    <w:p>
      <w:pPr>
        <w:spacing w:line="360" w:lineRule="auto"/>
        <w:rPr>
          <w:rFonts w:eastAsiaTheme="minorEastAsia"/>
          <w:color w:val="auto"/>
          <w:sz w:val="24"/>
          <w:highlight w:val="none"/>
        </w:rPr>
      </w:pPr>
      <w:r>
        <w:rPr>
          <w:rFonts w:eastAsiaTheme="minorEastAsia"/>
          <w:color w:val="auto"/>
          <w:sz w:val="24"/>
          <w:highlight w:val="none"/>
        </w:rPr>
        <w:t>16、合同份数</w:t>
      </w:r>
    </w:p>
    <w:p>
      <w:pPr>
        <w:spacing w:line="360" w:lineRule="auto"/>
        <w:rPr>
          <w:rFonts w:eastAsiaTheme="minorEastAsia"/>
          <w:color w:val="auto"/>
          <w:sz w:val="24"/>
          <w:highlight w:val="none"/>
        </w:rPr>
      </w:pPr>
      <w:r>
        <w:rPr>
          <w:rFonts w:eastAsiaTheme="minorEastAsia"/>
          <w:color w:val="auto"/>
          <w:sz w:val="24"/>
          <w:highlight w:val="none"/>
        </w:rPr>
        <w:t>16.1双方约定合同正本</w:t>
      </w:r>
      <w:r>
        <w:rPr>
          <w:rFonts w:eastAsiaTheme="minorEastAsia"/>
          <w:color w:val="auto"/>
          <w:sz w:val="24"/>
          <w:highlight w:val="none"/>
          <w:u w:val="single"/>
        </w:rPr>
        <w:t xml:space="preserve"> 2 </w:t>
      </w:r>
      <w:r>
        <w:rPr>
          <w:rFonts w:eastAsiaTheme="minorEastAsia"/>
          <w:color w:val="auto"/>
          <w:sz w:val="24"/>
          <w:highlight w:val="none"/>
        </w:rPr>
        <w:t>份，副本</w:t>
      </w:r>
      <w:r>
        <w:rPr>
          <w:rFonts w:eastAsiaTheme="minorEastAsia"/>
          <w:color w:val="auto"/>
          <w:sz w:val="24"/>
          <w:highlight w:val="none"/>
          <w:u w:val="single"/>
        </w:rPr>
        <w:t xml:space="preserve"> 6 </w:t>
      </w:r>
      <w:r>
        <w:rPr>
          <w:rFonts w:eastAsiaTheme="minorEastAsia"/>
          <w:color w:val="auto"/>
          <w:sz w:val="24"/>
          <w:highlight w:val="none"/>
        </w:rPr>
        <w:t>份，委托人、受托人双方各执正本</w:t>
      </w:r>
      <w:r>
        <w:rPr>
          <w:rFonts w:eastAsiaTheme="minorEastAsia"/>
          <w:color w:val="auto"/>
          <w:sz w:val="24"/>
          <w:highlight w:val="none"/>
          <w:u w:val="single"/>
        </w:rPr>
        <w:t>1</w:t>
      </w:r>
      <w:r>
        <w:rPr>
          <w:rFonts w:eastAsiaTheme="minorEastAsia"/>
          <w:color w:val="auto"/>
          <w:sz w:val="24"/>
          <w:highlight w:val="none"/>
        </w:rPr>
        <w:t>份，委托人执副本</w:t>
      </w:r>
      <w:r>
        <w:rPr>
          <w:rFonts w:eastAsiaTheme="minorEastAsia"/>
          <w:color w:val="auto"/>
          <w:sz w:val="24"/>
          <w:highlight w:val="none"/>
          <w:u w:val="single"/>
        </w:rPr>
        <w:t xml:space="preserve"> 4</w:t>
      </w:r>
      <w:r>
        <w:rPr>
          <w:rFonts w:eastAsiaTheme="minorEastAsia"/>
          <w:color w:val="auto"/>
          <w:sz w:val="24"/>
          <w:highlight w:val="none"/>
        </w:rPr>
        <w:t>份，受托人执副本</w:t>
      </w:r>
      <w:r>
        <w:rPr>
          <w:rFonts w:eastAsiaTheme="minorEastAsia"/>
          <w:color w:val="auto"/>
          <w:sz w:val="24"/>
          <w:highlight w:val="none"/>
          <w:u w:val="single"/>
        </w:rPr>
        <w:t xml:space="preserve"> 2</w:t>
      </w:r>
      <w:r>
        <w:rPr>
          <w:rFonts w:eastAsiaTheme="minorEastAsia"/>
          <w:color w:val="auto"/>
          <w:sz w:val="24"/>
          <w:highlight w:val="none"/>
        </w:rPr>
        <w:t>份。</w:t>
      </w:r>
    </w:p>
    <w:p>
      <w:pPr>
        <w:spacing w:line="360" w:lineRule="auto"/>
        <w:rPr>
          <w:rFonts w:eastAsiaTheme="minorEastAsia"/>
          <w:color w:val="auto"/>
          <w:sz w:val="24"/>
          <w:highlight w:val="none"/>
        </w:rPr>
      </w:pPr>
      <w:r>
        <w:rPr>
          <w:rFonts w:eastAsiaTheme="minorEastAsia"/>
          <w:color w:val="auto"/>
          <w:sz w:val="24"/>
          <w:highlight w:val="none"/>
        </w:rPr>
        <w:t>17、补充条款：</w:t>
      </w:r>
    </w:p>
    <w:p>
      <w:pPr>
        <w:spacing w:line="360" w:lineRule="auto"/>
        <w:rPr>
          <w:rFonts w:eastAsiaTheme="minorEastAsia"/>
          <w:color w:val="auto"/>
          <w:sz w:val="24"/>
          <w:highlight w:val="none"/>
          <w:u w:val="single"/>
        </w:rPr>
      </w:pPr>
      <w:r>
        <w:rPr>
          <w:rFonts w:eastAsiaTheme="minorEastAsia"/>
          <w:color w:val="auto"/>
          <w:sz w:val="24"/>
          <w:highlight w:val="none"/>
        </w:rPr>
        <w:t>17.1暂定工程规模及投资估算：</w:t>
      </w:r>
      <w:r>
        <w:rPr>
          <w:rFonts w:hint="eastAsia" w:eastAsiaTheme="minorEastAsia"/>
          <w:color w:val="auto"/>
          <w:sz w:val="24"/>
          <w:highlight w:val="none"/>
          <w:u w:val="single"/>
        </w:rPr>
        <w:t xml:space="preserve">                              </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17.2上款表格中内容均为暂定，以批复文件和实际招标情况为准。</w:t>
      </w:r>
    </w:p>
    <w:p>
      <w:pPr>
        <w:widowControl/>
        <w:jc w:val="left"/>
        <w:rPr>
          <w:rFonts w:eastAsiaTheme="minorEastAsia"/>
          <w:color w:val="auto"/>
          <w:highlight w:val="none"/>
        </w:rPr>
      </w:pPr>
    </w:p>
    <w:p>
      <w:pPr>
        <w:pStyle w:val="3"/>
        <w:spacing w:before="0" w:after="0" w:line="360" w:lineRule="auto"/>
        <w:rPr>
          <w:rFonts w:eastAsiaTheme="minorEastAsia"/>
          <w:color w:val="auto"/>
          <w:szCs w:val="28"/>
          <w:highlight w:val="none"/>
        </w:rPr>
      </w:pPr>
      <w:r>
        <w:rPr>
          <w:rFonts w:eastAsiaTheme="minorEastAsia"/>
          <w:color w:val="auto"/>
          <w:highlight w:val="none"/>
        </w:rPr>
        <w:br w:type="page"/>
      </w:r>
      <w:bookmarkStart w:id="244" w:name="_Toc24668"/>
      <w:bookmarkStart w:id="245" w:name="_Toc27378"/>
      <w:bookmarkStart w:id="246" w:name="_Toc29471"/>
      <w:bookmarkStart w:id="247" w:name="_Toc26692"/>
      <w:bookmarkStart w:id="248" w:name="_Toc6779"/>
      <w:bookmarkStart w:id="249" w:name="_Toc15172"/>
      <w:bookmarkStart w:id="250" w:name="_Toc16386"/>
      <w:bookmarkStart w:id="251" w:name="_Toc5941"/>
      <w:bookmarkStart w:id="252" w:name="_Toc1897"/>
      <w:bookmarkStart w:id="253" w:name="_Toc20710"/>
      <w:bookmarkStart w:id="254" w:name="_Toc461525321"/>
      <w:bookmarkStart w:id="255" w:name="_Toc2598"/>
      <w:bookmarkStart w:id="256" w:name="_Toc23661"/>
      <w:bookmarkStart w:id="257" w:name="_Toc32280"/>
      <w:r>
        <w:rPr>
          <w:rFonts w:eastAsiaTheme="minorEastAsia"/>
          <w:color w:val="auto"/>
          <w:szCs w:val="28"/>
          <w:highlight w:val="none"/>
        </w:rPr>
        <w:t>第四章比选</w:t>
      </w:r>
      <w:bookmarkEnd w:id="236"/>
      <w:bookmarkEnd w:id="237"/>
      <w:r>
        <w:rPr>
          <w:rFonts w:eastAsiaTheme="minorEastAsia"/>
          <w:color w:val="auto"/>
          <w:szCs w:val="28"/>
          <w:highlight w:val="none"/>
        </w:rPr>
        <w:t>申请文件格式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Start w:id="258" w:name="_Toc114052391"/>
    </w:p>
    <w:p>
      <w:pPr>
        <w:jc w:val="center"/>
        <w:rPr>
          <w:rFonts w:eastAsiaTheme="minorEastAsia"/>
          <w:color w:val="auto"/>
          <w:szCs w:val="28"/>
          <w:highlight w:val="none"/>
        </w:rPr>
      </w:pPr>
    </w:p>
    <w:p>
      <w:pPr>
        <w:ind w:right="753"/>
        <w:jc w:val="left"/>
        <w:rPr>
          <w:rFonts w:eastAsiaTheme="minorEastAsia"/>
          <w:color w:val="auto"/>
          <w:sz w:val="28"/>
          <w:szCs w:val="28"/>
          <w:highlight w:val="none"/>
        </w:rPr>
      </w:pPr>
      <w:r>
        <w:rPr>
          <w:rFonts w:eastAsiaTheme="minorEastAsia"/>
          <w:color w:val="auto"/>
          <w:sz w:val="28"/>
          <w:szCs w:val="28"/>
          <w:highlight w:val="none"/>
        </w:rPr>
        <w:t>（封面格式）</w:t>
      </w:r>
    </w:p>
    <w:p>
      <w:pPr>
        <w:ind w:right="753"/>
        <w:jc w:val="left"/>
        <w:rPr>
          <w:rFonts w:eastAsiaTheme="minorEastAsia"/>
          <w:color w:val="auto"/>
          <w:sz w:val="28"/>
          <w:szCs w:val="28"/>
          <w:highlight w:val="none"/>
        </w:rPr>
      </w:pPr>
    </w:p>
    <w:p>
      <w:pPr>
        <w:ind w:right="5"/>
        <w:jc w:val="center"/>
        <w:rPr>
          <w:rFonts w:eastAsiaTheme="minorEastAsia"/>
          <w:color w:val="auto"/>
          <w:szCs w:val="28"/>
          <w:highlight w:val="none"/>
        </w:rPr>
      </w:pPr>
      <w:r>
        <w:rPr>
          <w:rFonts w:hint="eastAsia" w:eastAsiaTheme="minorEastAsia"/>
          <w:color w:val="auto"/>
          <w:sz w:val="24"/>
          <w:highlight w:val="none"/>
          <w:u w:val="single"/>
        </w:rPr>
        <w:t>（项目名称）</w:t>
      </w: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center"/>
        <w:rPr>
          <w:rFonts w:eastAsiaTheme="minorEastAsia"/>
          <w:color w:val="auto"/>
          <w:sz w:val="32"/>
          <w:szCs w:val="32"/>
          <w:highlight w:val="none"/>
        </w:rPr>
      </w:pPr>
      <w:r>
        <w:rPr>
          <w:rFonts w:eastAsiaTheme="minorEastAsia"/>
          <w:color w:val="auto"/>
          <w:sz w:val="32"/>
          <w:szCs w:val="32"/>
          <w:highlight w:val="none"/>
        </w:rPr>
        <w:t>比选申请文件</w:t>
      </w: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r>
        <w:rPr>
          <w:rFonts w:eastAsiaTheme="minorEastAsia"/>
          <w:color w:val="auto"/>
          <w:sz w:val="28"/>
          <w:szCs w:val="28"/>
          <w:highlight w:val="none"/>
        </w:rPr>
        <w:t>比选申</w:t>
      </w:r>
      <w:bookmarkEnd w:id="258"/>
      <w:r>
        <w:rPr>
          <w:rFonts w:eastAsiaTheme="minorEastAsia"/>
          <w:color w:val="auto"/>
          <w:sz w:val="28"/>
          <w:szCs w:val="28"/>
          <w:highlight w:val="none"/>
        </w:rPr>
        <w:t>请</w:t>
      </w:r>
      <w:bookmarkStart w:id="259" w:name="_Toc114052392"/>
      <w:r>
        <w:rPr>
          <w:rFonts w:eastAsiaTheme="minorEastAsia"/>
          <w:color w:val="auto"/>
          <w:sz w:val="28"/>
          <w:szCs w:val="28"/>
          <w:highlight w:val="none"/>
        </w:rPr>
        <w:t>人：</w:t>
      </w:r>
      <w:bookmarkEnd w:id="259"/>
      <w:r>
        <w:rPr>
          <w:rFonts w:eastAsiaTheme="minorEastAsia"/>
          <w:color w:val="auto"/>
          <w:sz w:val="28"/>
          <w:szCs w:val="28"/>
          <w:highlight w:val="none"/>
        </w:rPr>
        <w:t>（公章）</w:t>
      </w:r>
    </w:p>
    <w:p>
      <w:pPr>
        <w:ind w:right="753"/>
        <w:jc w:val="left"/>
        <w:rPr>
          <w:rFonts w:eastAsiaTheme="minorEastAsia"/>
          <w:color w:val="auto"/>
          <w:sz w:val="28"/>
          <w:szCs w:val="28"/>
          <w:highlight w:val="none"/>
        </w:rPr>
      </w:pPr>
      <w:r>
        <w:rPr>
          <w:rFonts w:eastAsiaTheme="minorEastAsia"/>
          <w:color w:val="auto"/>
          <w:sz w:val="28"/>
          <w:szCs w:val="28"/>
          <w:highlight w:val="none"/>
        </w:rPr>
        <w:t>法定代表人或其委托代</w:t>
      </w:r>
      <w:bookmarkStart w:id="260" w:name="_Toc333307122"/>
      <w:r>
        <w:rPr>
          <w:rFonts w:eastAsiaTheme="minorEastAsia"/>
          <w:color w:val="auto"/>
          <w:sz w:val="28"/>
          <w:szCs w:val="28"/>
          <w:highlight w:val="none"/>
        </w:rPr>
        <w:t>理人</w:t>
      </w:r>
      <w:bookmarkEnd w:id="260"/>
      <w:r>
        <w:rPr>
          <w:rFonts w:eastAsiaTheme="minorEastAsia"/>
          <w:color w:val="auto"/>
          <w:sz w:val="28"/>
          <w:szCs w:val="28"/>
          <w:highlight w:val="none"/>
        </w:rPr>
        <w:t>：（签字或盖章）</w:t>
      </w:r>
    </w:p>
    <w:p>
      <w:pPr>
        <w:ind w:right="753"/>
        <w:jc w:val="left"/>
        <w:rPr>
          <w:rFonts w:eastAsiaTheme="minorEastAsia"/>
          <w:color w:val="auto"/>
          <w:sz w:val="28"/>
          <w:szCs w:val="28"/>
          <w:highlight w:val="none"/>
        </w:rPr>
      </w:pPr>
      <w:r>
        <w:rPr>
          <w:rFonts w:eastAsiaTheme="minorEastAsia"/>
          <w:color w:val="auto"/>
          <w:sz w:val="28"/>
          <w:szCs w:val="28"/>
          <w:highlight w:val="none"/>
        </w:rPr>
        <w:t>电话/传真：</w:t>
      </w:r>
    </w:p>
    <w:p>
      <w:pPr>
        <w:ind w:right="753"/>
        <w:jc w:val="left"/>
        <w:rPr>
          <w:rFonts w:eastAsiaTheme="minorEastAsia"/>
          <w:color w:val="auto"/>
          <w:sz w:val="28"/>
          <w:szCs w:val="28"/>
          <w:highlight w:val="none"/>
        </w:rPr>
      </w:pPr>
      <w:r>
        <w:rPr>
          <w:rFonts w:eastAsiaTheme="minorEastAsia"/>
          <w:color w:val="auto"/>
          <w:sz w:val="28"/>
          <w:szCs w:val="28"/>
          <w:highlight w:val="none"/>
        </w:rPr>
        <w:t>地址：</w:t>
      </w:r>
    </w:p>
    <w:p>
      <w:pPr>
        <w:ind w:right="753" w:firstLine="1260" w:firstLineChars="450"/>
        <w:jc w:val="left"/>
        <w:rPr>
          <w:rFonts w:eastAsiaTheme="minorEastAsia"/>
          <w:color w:val="auto"/>
          <w:sz w:val="28"/>
          <w:szCs w:val="28"/>
          <w:highlight w:val="none"/>
        </w:rPr>
      </w:pPr>
      <w:r>
        <w:rPr>
          <w:rFonts w:eastAsiaTheme="minorEastAsia"/>
          <w:color w:val="auto"/>
          <w:sz w:val="28"/>
          <w:szCs w:val="28"/>
          <w:highlight w:val="none"/>
        </w:rPr>
        <w:t>年</w:t>
      </w:r>
      <w:r>
        <w:rPr>
          <w:rFonts w:hint="eastAsia" w:eastAsiaTheme="minorEastAsia"/>
          <w:color w:val="auto"/>
          <w:sz w:val="28"/>
          <w:szCs w:val="28"/>
          <w:highlight w:val="none"/>
        </w:rPr>
        <w:t xml:space="preserve">   </w:t>
      </w:r>
      <w:r>
        <w:rPr>
          <w:rFonts w:eastAsiaTheme="minorEastAsia"/>
          <w:color w:val="auto"/>
          <w:sz w:val="28"/>
          <w:szCs w:val="28"/>
          <w:highlight w:val="none"/>
        </w:rPr>
        <w:t>月</w:t>
      </w:r>
      <w:r>
        <w:rPr>
          <w:rFonts w:hint="eastAsia" w:eastAsiaTheme="minorEastAsia"/>
          <w:color w:val="auto"/>
          <w:sz w:val="28"/>
          <w:szCs w:val="28"/>
          <w:highlight w:val="none"/>
        </w:rPr>
        <w:t xml:space="preserve">   </w:t>
      </w:r>
      <w:r>
        <w:rPr>
          <w:rFonts w:eastAsiaTheme="minorEastAsia"/>
          <w:color w:val="auto"/>
          <w:sz w:val="28"/>
          <w:szCs w:val="28"/>
          <w:highlight w:val="none"/>
        </w:rPr>
        <w:t>日</w:t>
      </w:r>
    </w:p>
    <w:p>
      <w:pPr>
        <w:ind w:right="753" w:firstLine="1260" w:firstLineChars="450"/>
        <w:jc w:val="left"/>
        <w:rPr>
          <w:rFonts w:eastAsiaTheme="minorEastAsia"/>
          <w:color w:val="auto"/>
          <w:sz w:val="28"/>
          <w:szCs w:val="28"/>
          <w:highlight w:val="none"/>
        </w:rPr>
      </w:pPr>
    </w:p>
    <w:p>
      <w:pPr>
        <w:ind w:right="753" w:firstLine="1260" w:firstLineChars="450"/>
        <w:jc w:val="left"/>
        <w:rPr>
          <w:rFonts w:eastAsiaTheme="minorEastAsia"/>
          <w:color w:val="auto"/>
          <w:sz w:val="28"/>
          <w:szCs w:val="28"/>
          <w:highlight w:val="none"/>
        </w:rPr>
      </w:pPr>
    </w:p>
    <w:p>
      <w:pPr>
        <w:widowControl/>
        <w:jc w:val="left"/>
        <w:rPr>
          <w:rFonts w:eastAsiaTheme="minorEastAsia"/>
          <w:color w:val="auto"/>
          <w:highlight w:val="none"/>
        </w:rPr>
      </w:pPr>
      <w:bookmarkStart w:id="261" w:name="_Toc7849"/>
      <w:bookmarkStart w:id="262" w:name="_Toc461525323"/>
      <w:r>
        <w:rPr>
          <w:rFonts w:eastAsiaTheme="minorEastAsia"/>
          <w:color w:val="auto"/>
          <w:highlight w:val="none"/>
        </w:rPr>
        <w:br w:type="page"/>
      </w:r>
    </w:p>
    <w:p>
      <w:pPr>
        <w:pStyle w:val="2"/>
        <w:jc w:val="center"/>
        <w:rPr>
          <w:rFonts w:ascii="Times New Roman" w:hAnsi="Times New Roman" w:eastAsiaTheme="minorEastAsia"/>
          <w:b/>
          <w:color w:val="auto"/>
          <w:highlight w:val="none"/>
        </w:rPr>
      </w:pPr>
      <w:bookmarkStart w:id="263" w:name="_Toc7514"/>
      <w:bookmarkStart w:id="264" w:name="_Toc28967"/>
      <w:bookmarkStart w:id="265" w:name="_Toc29495"/>
      <w:bookmarkStart w:id="266" w:name="_Toc17090"/>
      <w:bookmarkStart w:id="267" w:name="_Toc16191"/>
      <w:bookmarkStart w:id="268" w:name="_Toc7031"/>
      <w:bookmarkStart w:id="269" w:name="_Toc24695"/>
      <w:bookmarkStart w:id="270" w:name="_Toc13042"/>
      <w:bookmarkStart w:id="271" w:name="_Toc32258"/>
      <w:bookmarkStart w:id="272" w:name="_Toc7352"/>
      <w:r>
        <w:rPr>
          <w:rFonts w:ascii="Times New Roman" w:hAnsi="Times New Roman" w:eastAsiaTheme="minorEastAsia"/>
          <w:color w:val="auto"/>
          <w:szCs w:val="28"/>
          <w:highlight w:val="none"/>
        </w:rPr>
        <w:t>一、</w:t>
      </w:r>
      <w:bookmarkEnd w:id="261"/>
      <w:bookmarkEnd w:id="262"/>
      <w:bookmarkEnd w:id="263"/>
      <w:bookmarkEnd w:id="264"/>
      <w:bookmarkEnd w:id="265"/>
      <w:bookmarkEnd w:id="266"/>
      <w:bookmarkEnd w:id="267"/>
      <w:bookmarkEnd w:id="268"/>
      <w:bookmarkEnd w:id="269"/>
      <w:bookmarkEnd w:id="270"/>
      <w:r>
        <w:rPr>
          <w:rFonts w:ascii="Times New Roman" w:hAnsi="Times New Roman" w:eastAsiaTheme="minorEastAsia"/>
          <w:b/>
          <w:color w:val="auto"/>
          <w:highlight w:val="none"/>
        </w:rPr>
        <w:t>报价部分格式</w:t>
      </w:r>
      <w:bookmarkEnd w:id="271"/>
      <w:bookmarkEnd w:id="272"/>
    </w:p>
    <w:p>
      <w:pPr>
        <w:ind w:right="753"/>
        <w:jc w:val="center"/>
        <w:rPr>
          <w:rFonts w:eastAsiaTheme="minorEastAsia"/>
          <w:b/>
          <w:color w:val="auto"/>
          <w:sz w:val="28"/>
          <w:szCs w:val="28"/>
          <w:highlight w:val="none"/>
        </w:rPr>
      </w:pPr>
      <w:r>
        <w:rPr>
          <w:rFonts w:eastAsiaTheme="minorEastAsia"/>
          <w:b/>
          <w:color w:val="auto"/>
          <w:sz w:val="28"/>
          <w:szCs w:val="28"/>
          <w:highlight w:val="none"/>
        </w:rPr>
        <w:t>1、报价表</w:t>
      </w:r>
    </w:p>
    <w:tbl>
      <w:tblPr>
        <w:tblStyle w:val="2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59"/>
        <w:gridCol w:w="482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eastAsiaTheme="minorEastAsia"/>
                <w:color w:val="auto"/>
                <w:sz w:val="24"/>
                <w:highlight w:val="none"/>
              </w:rPr>
            </w:pPr>
            <w:r>
              <w:rPr>
                <w:rFonts w:eastAsiaTheme="minorEastAsia"/>
                <w:color w:val="auto"/>
                <w:sz w:val="24"/>
                <w:highlight w:val="none"/>
              </w:rPr>
              <w:t>项目名称</w:t>
            </w:r>
          </w:p>
        </w:tc>
        <w:tc>
          <w:tcPr>
            <w:tcW w:w="1559" w:type="dxa"/>
            <w:vAlign w:val="center"/>
          </w:tcPr>
          <w:p>
            <w:pPr>
              <w:jc w:val="center"/>
              <w:rPr>
                <w:rFonts w:eastAsiaTheme="minorEastAsia"/>
                <w:color w:val="auto"/>
                <w:sz w:val="24"/>
                <w:highlight w:val="none"/>
              </w:rPr>
            </w:pPr>
            <w:r>
              <w:rPr>
                <w:rFonts w:eastAsiaTheme="minorEastAsia"/>
                <w:color w:val="auto"/>
                <w:sz w:val="24"/>
                <w:highlight w:val="none"/>
              </w:rPr>
              <w:t>工作内容</w:t>
            </w:r>
          </w:p>
        </w:tc>
        <w:tc>
          <w:tcPr>
            <w:tcW w:w="4820" w:type="dxa"/>
            <w:vAlign w:val="center"/>
          </w:tcPr>
          <w:p>
            <w:pPr>
              <w:jc w:val="center"/>
              <w:rPr>
                <w:rFonts w:eastAsiaTheme="minorEastAsia"/>
                <w:color w:val="auto"/>
                <w:sz w:val="24"/>
                <w:highlight w:val="none"/>
              </w:rPr>
            </w:pPr>
            <w:r>
              <w:rPr>
                <w:rFonts w:eastAsiaTheme="minorEastAsia"/>
                <w:color w:val="auto"/>
                <w:sz w:val="24"/>
                <w:highlight w:val="none"/>
              </w:rPr>
              <w:t>报价</w:t>
            </w:r>
          </w:p>
        </w:tc>
        <w:tc>
          <w:tcPr>
            <w:tcW w:w="850" w:type="dxa"/>
          </w:tcPr>
          <w:p>
            <w:pPr>
              <w:jc w:val="center"/>
              <w:rPr>
                <w:rFonts w:eastAsiaTheme="minorEastAsia"/>
                <w:color w:val="auto"/>
                <w:sz w:val="24"/>
                <w:highlight w:val="none"/>
              </w:rPr>
            </w:pPr>
            <w:r>
              <w:rPr>
                <w:rFonts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951" w:type="dxa"/>
            <w:vAlign w:val="center"/>
          </w:tcPr>
          <w:p>
            <w:pPr>
              <w:jc w:val="both"/>
              <w:rPr>
                <w:rFonts w:eastAsiaTheme="minorEastAsia"/>
                <w:b/>
                <w:color w:val="auto"/>
                <w:sz w:val="24"/>
                <w:highlight w:val="none"/>
              </w:rPr>
            </w:pPr>
            <w:r>
              <w:rPr>
                <w:rFonts w:hint="eastAsia" w:eastAsiaTheme="minorEastAsia"/>
                <w:color w:val="auto"/>
                <w:sz w:val="24"/>
                <w:highlight w:val="none"/>
              </w:rPr>
              <w:t>桂林市轨道交通集团有限公司2021年第三批次招标代理</w:t>
            </w:r>
            <w:r>
              <w:rPr>
                <w:rFonts w:hint="eastAsia" w:eastAsiaTheme="minorEastAsia"/>
                <w:color w:val="auto"/>
                <w:sz w:val="24"/>
                <w:highlight w:val="none"/>
                <w:lang w:val="en-US" w:eastAsia="zh-CN"/>
              </w:rPr>
              <w:t>机构</w:t>
            </w:r>
            <w:r>
              <w:rPr>
                <w:rFonts w:hint="eastAsia" w:eastAsiaTheme="minorEastAsia"/>
                <w:color w:val="auto"/>
                <w:sz w:val="24"/>
                <w:highlight w:val="none"/>
              </w:rPr>
              <w:t>比选</w:t>
            </w:r>
          </w:p>
        </w:tc>
        <w:tc>
          <w:tcPr>
            <w:tcW w:w="1559" w:type="dxa"/>
            <w:vAlign w:val="center"/>
          </w:tcPr>
          <w:p>
            <w:pPr>
              <w:jc w:val="center"/>
              <w:rPr>
                <w:rFonts w:eastAsiaTheme="minorEastAsia"/>
                <w:color w:val="auto"/>
                <w:sz w:val="24"/>
                <w:highlight w:val="none"/>
              </w:rPr>
            </w:pPr>
            <w:r>
              <w:rPr>
                <w:rFonts w:eastAsiaTheme="minorEastAsia"/>
                <w:color w:val="auto"/>
                <w:sz w:val="24"/>
                <w:highlight w:val="none"/>
              </w:rPr>
              <w:t>以本项目招标代理合同为准</w:t>
            </w:r>
          </w:p>
        </w:tc>
        <w:tc>
          <w:tcPr>
            <w:tcW w:w="4820" w:type="dxa"/>
            <w:vAlign w:val="center"/>
          </w:tcPr>
          <w:p>
            <w:pPr>
              <w:contextualSpacing/>
              <w:rPr>
                <w:rFonts w:hint="eastAsia" w:eastAsiaTheme="minorEastAsia"/>
                <w:color w:val="auto"/>
                <w:sz w:val="24"/>
                <w:highlight w:val="none"/>
              </w:rPr>
            </w:pPr>
            <w:r>
              <w:rPr>
                <w:rFonts w:hint="eastAsia" w:eastAsiaTheme="minorEastAsia"/>
                <w:color w:val="auto"/>
                <w:sz w:val="24"/>
                <w:highlight w:val="none"/>
              </w:rPr>
              <w:t>招标代理服务费：按计价格[2002]1980号收费标准下浮</w:t>
            </w:r>
            <w:r>
              <w:rPr>
                <w:rFonts w:hint="eastAsia" w:eastAsiaTheme="minorEastAsia"/>
                <w:color w:val="auto"/>
                <w:sz w:val="24"/>
                <w:highlight w:val="none"/>
                <w:u w:val="single"/>
              </w:rPr>
              <w:t xml:space="preserve">    %取费</w:t>
            </w:r>
            <w:r>
              <w:rPr>
                <w:rFonts w:hint="eastAsia" w:eastAsiaTheme="minorEastAsia"/>
                <w:color w:val="auto"/>
                <w:sz w:val="24"/>
                <w:highlight w:val="none"/>
              </w:rPr>
              <w:t>。</w:t>
            </w:r>
          </w:p>
        </w:tc>
        <w:tc>
          <w:tcPr>
            <w:tcW w:w="850" w:type="dxa"/>
          </w:tcPr>
          <w:p>
            <w:pPr>
              <w:rPr>
                <w:rFonts w:eastAsiaTheme="minorEastAsia"/>
                <w:color w:val="auto"/>
                <w:sz w:val="24"/>
                <w:highlight w:val="none"/>
              </w:rPr>
            </w:pPr>
          </w:p>
        </w:tc>
      </w:tr>
    </w:tbl>
    <w:p>
      <w:pPr>
        <w:jc w:val="left"/>
        <w:rPr>
          <w:rFonts w:eastAsiaTheme="minorEastAsia"/>
          <w:color w:val="auto"/>
          <w:sz w:val="24"/>
          <w:highlight w:val="none"/>
        </w:rPr>
      </w:pPr>
      <w:r>
        <w:rPr>
          <w:rFonts w:eastAsiaTheme="minorEastAsia"/>
          <w:color w:val="auto"/>
          <w:sz w:val="24"/>
          <w:highlight w:val="none"/>
        </w:rPr>
        <w:t>注：1.未按照本比选报价表的格式及要求填写比选报价表的，将视为不满足比选文件要求，从而导致该比选申请人竞选无效。</w:t>
      </w:r>
    </w:p>
    <w:p>
      <w:pPr>
        <w:ind w:firstLine="465"/>
        <w:jc w:val="left"/>
        <w:rPr>
          <w:rFonts w:eastAsiaTheme="minorEastAsia"/>
          <w:color w:val="auto"/>
          <w:sz w:val="24"/>
          <w:highlight w:val="none"/>
        </w:rPr>
      </w:pPr>
      <w:r>
        <w:rPr>
          <w:rFonts w:eastAsiaTheme="minorEastAsia"/>
          <w:color w:val="auto"/>
          <w:sz w:val="24"/>
          <w:highlight w:val="none"/>
        </w:rPr>
        <w:t>2.报价数值填报整数，如15%。</w:t>
      </w:r>
    </w:p>
    <w:p>
      <w:pPr>
        <w:ind w:firstLine="465"/>
        <w:jc w:val="left"/>
        <w:rPr>
          <w:rFonts w:eastAsiaTheme="minorEastAsia"/>
          <w:color w:val="auto"/>
          <w:sz w:val="24"/>
          <w:highlight w:val="none"/>
        </w:rPr>
      </w:pPr>
      <w:r>
        <w:rPr>
          <w:rFonts w:hint="eastAsia" w:eastAsiaTheme="minorEastAsia"/>
          <w:color w:val="auto"/>
          <w:sz w:val="24"/>
          <w:highlight w:val="none"/>
        </w:rPr>
        <w:t>3. 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p>
      <w:pPr>
        <w:spacing w:line="360" w:lineRule="auto"/>
        <w:ind w:right="565" w:rightChars="269"/>
        <w:jc w:val="left"/>
        <w:rPr>
          <w:rFonts w:eastAsiaTheme="minorEastAsia"/>
          <w:color w:val="auto"/>
          <w:sz w:val="24"/>
          <w:highlight w:val="none"/>
        </w:rPr>
      </w:pPr>
    </w:p>
    <w:p>
      <w:pPr>
        <w:ind w:left="2100" w:firstLine="420"/>
        <w:rPr>
          <w:rFonts w:eastAsiaTheme="minorEastAsia"/>
          <w:color w:val="auto"/>
          <w:sz w:val="24"/>
          <w:highlight w:val="none"/>
          <w:u w:val="single"/>
        </w:rPr>
      </w:pPr>
      <w:r>
        <w:rPr>
          <w:rFonts w:eastAsiaTheme="minorEastAsia"/>
          <w:color w:val="auto"/>
          <w:sz w:val="24"/>
          <w:highlight w:val="none"/>
        </w:rPr>
        <w:t>比选申请人（公章）：</w:t>
      </w:r>
    </w:p>
    <w:p>
      <w:pPr>
        <w:ind w:left="2100" w:firstLine="420"/>
        <w:rPr>
          <w:rFonts w:eastAsiaTheme="minorEastAsia"/>
          <w:color w:val="auto"/>
          <w:sz w:val="24"/>
          <w:highlight w:val="none"/>
        </w:rPr>
      </w:pPr>
    </w:p>
    <w:p>
      <w:pPr>
        <w:ind w:left="2100" w:firstLine="420"/>
        <w:rPr>
          <w:rFonts w:eastAsiaTheme="minorEastAsia"/>
          <w:color w:val="auto"/>
          <w:sz w:val="24"/>
          <w:highlight w:val="none"/>
          <w:u w:val="single"/>
        </w:rPr>
      </w:pPr>
      <w:r>
        <w:rPr>
          <w:rFonts w:eastAsiaTheme="minorEastAsia"/>
          <w:color w:val="auto"/>
          <w:sz w:val="24"/>
          <w:highlight w:val="none"/>
        </w:rPr>
        <w:t>法定代表人或委托代理人（签字或盖章）：</w:t>
      </w:r>
    </w:p>
    <w:p>
      <w:pPr>
        <w:ind w:left="2100" w:firstLine="420"/>
        <w:rPr>
          <w:rFonts w:eastAsiaTheme="minorEastAsia"/>
          <w:color w:val="auto"/>
          <w:sz w:val="24"/>
          <w:highlight w:val="none"/>
        </w:rPr>
      </w:pPr>
    </w:p>
    <w:p>
      <w:pPr>
        <w:ind w:left="2100" w:firstLine="420"/>
        <w:rPr>
          <w:rFonts w:eastAsiaTheme="minorEastAsia"/>
          <w:color w:val="auto"/>
          <w:sz w:val="24"/>
          <w:highlight w:val="none"/>
        </w:rPr>
      </w:pPr>
      <w:r>
        <w:rPr>
          <w:rFonts w:eastAsiaTheme="minorEastAsia"/>
          <w:color w:val="auto"/>
          <w:sz w:val="24"/>
          <w:highlight w:val="none"/>
        </w:rPr>
        <w:t>日期：</w:t>
      </w:r>
      <w:r>
        <w:rPr>
          <w:rFonts w:hint="eastAsia" w:eastAsiaTheme="minorEastAsia"/>
          <w:color w:val="auto"/>
          <w:sz w:val="24"/>
          <w:highlight w:val="none"/>
          <w:u w:val="single"/>
        </w:rPr>
        <w:t xml:space="preserve">    </w:t>
      </w:r>
      <w:r>
        <w:rPr>
          <w:rFonts w:eastAsiaTheme="minorEastAsia"/>
          <w:color w:val="auto"/>
          <w:sz w:val="24"/>
          <w:highlight w:val="none"/>
        </w:rPr>
        <w:t>年</w:t>
      </w:r>
      <w:r>
        <w:rPr>
          <w:rFonts w:hint="eastAsia" w:eastAsiaTheme="minorEastAsia"/>
          <w:color w:val="auto"/>
          <w:sz w:val="24"/>
          <w:highlight w:val="none"/>
          <w:u w:val="single"/>
        </w:rPr>
        <w:t xml:space="preserve">    </w:t>
      </w:r>
      <w:r>
        <w:rPr>
          <w:rFonts w:eastAsiaTheme="minorEastAsia"/>
          <w:color w:val="auto"/>
          <w:sz w:val="24"/>
          <w:highlight w:val="none"/>
        </w:rPr>
        <w:t>月</w:t>
      </w:r>
      <w:r>
        <w:rPr>
          <w:rFonts w:hint="eastAsia" w:eastAsiaTheme="minorEastAsia"/>
          <w:color w:val="auto"/>
          <w:sz w:val="24"/>
          <w:highlight w:val="none"/>
          <w:u w:val="single"/>
        </w:rPr>
        <w:t xml:space="preserve">    </w:t>
      </w:r>
      <w:r>
        <w:rPr>
          <w:rFonts w:eastAsiaTheme="minorEastAsia"/>
          <w:color w:val="auto"/>
          <w:sz w:val="24"/>
          <w:highlight w:val="none"/>
        </w:rPr>
        <w:t>日</w:t>
      </w:r>
    </w:p>
    <w:p>
      <w:pPr>
        <w:ind w:left="2100" w:firstLine="420"/>
        <w:rPr>
          <w:rFonts w:eastAsiaTheme="minorEastAsia"/>
          <w:color w:val="auto"/>
          <w:sz w:val="24"/>
          <w:highlight w:val="none"/>
        </w:rPr>
      </w:pPr>
    </w:p>
    <w:p>
      <w:pPr>
        <w:widowControl/>
        <w:jc w:val="left"/>
        <w:rPr>
          <w:rFonts w:eastAsiaTheme="minorEastAsia"/>
          <w:color w:val="auto"/>
          <w:kern w:val="0"/>
          <w:sz w:val="28"/>
          <w:szCs w:val="28"/>
          <w:highlight w:val="none"/>
        </w:rPr>
      </w:pPr>
      <w:bookmarkStart w:id="273" w:name="_Toc26769"/>
      <w:bookmarkStart w:id="274" w:name="_Toc1986"/>
      <w:bookmarkStart w:id="275" w:name="_Toc21144"/>
      <w:bookmarkStart w:id="276" w:name="_Toc31582"/>
      <w:bookmarkStart w:id="277" w:name="_Toc31521"/>
      <w:bookmarkStart w:id="278" w:name="_Toc23508"/>
      <w:bookmarkStart w:id="279" w:name="_Toc9379"/>
      <w:bookmarkStart w:id="280" w:name="_Toc29536"/>
      <w:bookmarkStart w:id="281" w:name="_Toc32510"/>
      <w:r>
        <w:rPr>
          <w:rFonts w:eastAsiaTheme="minorEastAsia"/>
          <w:color w:val="auto"/>
          <w:szCs w:val="28"/>
          <w:highlight w:val="none"/>
        </w:rPr>
        <w:br w:type="page"/>
      </w:r>
    </w:p>
    <w:p>
      <w:pPr>
        <w:pStyle w:val="2"/>
        <w:jc w:val="center"/>
        <w:rPr>
          <w:rFonts w:ascii="Times New Roman" w:hAnsi="Times New Roman" w:eastAsiaTheme="minorEastAsia"/>
          <w:b/>
          <w:color w:val="auto"/>
          <w:highlight w:val="none"/>
        </w:rPr>
      </w:pPr>
      <w:bookmarkStart w:id="282" w:name="_Toc7050"/>
      <w:bookmarkStart w:id="283" w:name="_Toc8018"/>
      <w:r>
        <w:rPr>
          <w:rFonts w:hint="eastAsia" w:ascii="Times New Roman" w:hAnsi="Times New Roman" w:eastAsiaTheme="minorEastAsia"/>
          <w:b/>
          <w:color w:val="auto"/>
          <w:szCs w:val="28"/>
          <w:highlight w:val="none"/>
        </w:rPr>
        <w:t>二</w:t>
      </w:r>
      <w:r>
        <w:rPr>
          <w:rFonts w:ascii="Times New Roman" w:hAnsi="Times New Roman" w:eastAsiaTheme="minorEastAsia"/>
          <w:b/>
          <w:color w:val="auto"/>
          <w:highlight w:val="none"/>
        </w:rPr>
        <w:t>、资信部分</w:t>
      </w:r>
      <w:bookmarkEnd w:id="273"/>
      <w:bookmarkEnd w:id="274"/>
      <w:bookmarkEnd w:id="275"/>
      <w:bookmarkEnd w:id="276"/>
      <w:bookmarkEnd w:id="277"/>
      <w:bookmarkEnd w:id="278"/>
      <w:bookmarkEnd w:id="279"/>
      <w:bookmarkEnd w:id="280"/>
      <w:bookmarkEnd w:id="281"/>
      <w:r>
        <w:rPr>
          <w:rFonts w:ascii="Times New Roman" w:hAnsi="Times New Roman" w:eastAsiaTheme="minorEastAsia"/>
          <w:b/>
          <w:color w:val="auto"/>
          <w:highlight w:val="none"/>
        </w:rPr>
        <w:t>格式</w:t>
      </w:r>
      <w:bookmarkEnd w:id="282"/>
      <w:bookmarkEnd w:id="283"/>
    </w:p>
    <w:p>
      <w:pPr>
        <w:jc w:val="center"/>
        <w:rPr>
          <w:rFonts w:eastAsiaTheme="minorEastAsia"/>
          <w:b/>
          <w:color w:val="auto"/>
          <w:sz w:val="28"/>
          <w:szCs w:val="28"/>
          <w:highlight w:val="none"/>
        </w:rPr>
      </w:pPr>
      <w:bookmarkStart w:id="284" w:name="_Toc32624"/>
      <w:bookmarkStart w:id="285" w:name="_Toc9604"/>
      <w:bookmarkStart w:id="286" w:name="_Toc25382"/>
      <w:bookmarkStart w:id="287" w:name="_Toc10356"/>
      <w:bookmarkStart w:id="288" w:name="_Toc6881"/>
      <w:bookmarkStart w:id="289" w:name="_Toc7527"/>
      <w:bookmarkStart w:id="290" w:name="_Toc19216"/>
      <w:bookmarkStart w:id="291" w:name="_Toc24439"/>
      <w:bookmarkStart w:id="292" w:name="_Toc6862"/>
      <w:bookmarkStart w:id="293" w:name="_Toc461525332"/>
      <w:bookmarkStart w:id="294" w:name="_Toc30501"/>
      <w:bookmarkStart w:id="295" w:name="_Toc19445"/>
      <w:bookmarkStart w:id="296" w:name="_Toc31867"/>
      <w:r>
        <w:rPr>
          <w:rFonts w:eastAsiaTheme="minorEastAsia"/>
          <w:b/>
          <w:color w:val="auto"/>
          <w:kern w:val="0"/>
          <w:sz w:val="28"/>
          <w:szCs w:val="28"/>
          <w:highlight w:val="none"/>
        </w:rPr>
        <w:t>1</w:t>
      </w:r>
      <w:bookmarkEnd w:id="284"/>
      <w:bookmarkEnd w:id="285"/>
      <w:bookmarkEnd w:id="286"/>
      <w:bookmarkEnd w:id="287"/>
      <w:bookmarkEnd w:id="288"/>
      <w:bookmarkEnd w:id="289"/>
      <w:bookmarkEnd w:id="290"/>
      <w:bookmarkEnd w:id="291"/>
      <w:r>
        <w:rPr>
          <w:rFonts w:eastAsiaTheme="minorEastAsia"/>
          <w:b/>
          <w:color w:val="auto"/>
          <w:kern w:val="0"/>
          <w:sz w:val="28"/>
          <w:szCs w:val="28"/>
          <w:highlight w:val="none"/>
        </w:rPr>
        <w:t>、</w:t>
      </w:r>
      <w:r>
        <w:rPr>
          <w:rFonts w:eastAsiaTheme="minorEastAsia"/>
          <w:b/>
          <w:color w:val="auto"/>
          <w:sz w:val="28"/>
          <w:szCs w:val="28"/>
          <w:highlight w:val="none"/>
        </w:rPr>
        <w:t>近三年类似项目业绩一览表</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91"/>
        <w:gridCol w:w="2017"/>
        <w:gridCol w:w="244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序号</w:t>
            </w:r>
          </w:p>
        </w:tc>
        <w:tc>
          <w:tcPr>
            <w:tcW w:w="1991" w:type="dxa"/>
            <w:vAlign w:val="center"/>
          </w:tcPr>
          <w:p>
            <w:pPr>
              <w:jc w:val="center"/>
              <w:rPr>
                <w:rFonts w:eastAsiaTheme="minorEastAsia"/>
                <w:color w:val="auto"/>
                <w:sz w:val="24"/>
                <w:highlight w:val="none"/>
              </w:rPr>
            </w:pPr>
            <w:r>
              <w:rPr>
                <w:rFonts w:eastAsiaTheme="minorEastAsia"/>
                <w:color w:val="auto"/>
                <w:sz w:val="24"/>
                <w:highlight w:val="none"/>
              </w:rPr>
              <w:t>项目名称</w:t>
            </w:r>
          </w:p>
        </w:tc>
        <w:tc>
          <w:tcPr>
            <w:tcW w:w="2017" w:type="dxa"/>
            <w:vAlign w:val="center"/>
          </w:tcPr>
          <w:p>
            <w:pPr>
              <w:jc w:val="center"/>
              <w:rPr>
                <w:rFonts w:eastAsiaTheme="minorEastAsia"/>
                <w:color w:val="auto"/>
                <w:sz w:val="24"/>
                <w:highlight w:val="none"/>
              </w:rPr>
            </w:pPr>
            <w:r>
              <w:rPr>
                <w:rFonts w:eastAsiaTheme="minorEastAsia"/>
                <w:color w:val="auto"/>
                <w:sz w:val="24"/>
                <w:highlight w:val="none"/>
              </w:rPr>
              <w:t>委托人名称</w:t>
            </w:r>
          </w:p>
        </w:tc>
        <w:tc>
          <w:tcPr>
            <w:tcW w:w="2447" w:type="dxa"/>
            <w:vAlign w:val="center"/>
          </w:tcPr>
          <w:p>
            <w:pPr>
              <w:jc w:val="center"/>
              <w:rPr>
                <w:rFonts w:eastAsiaTheme="minorEastAsia"/>
                <w:color w:val="auto"/>
                <w:sz w:val="24"/>
                <w:highlight w:val="none"/>
              </w:rPr>
            </w:pPr>
            <w:r>
              <w:rPr>
                <w:rFonts w:eastAsiaTheme="minorEastAsia"/>
                <w:color w:val="auto"/>
                <w:sz w:val="24"/>
                <w:highlight w:val="none"/>
              </w:rPr>
              <w:t>项目承揽时间</w:t>
            </w:r>
          </w:p>
        </w:tc>
        <w:tc>
          <w:tcPr>
            <w:tcW w:w="1653" w:type="dxa"/>
            <w:vAlign w:val="center"/>
          </w:tcPr>
          <w:p>
            <w:pPr>
              <w:pStyle w:val="11"/>
              <w:widowControl w:val="0"/>
              <w:adjustRightInd w:val="0"/>
              <w:snapToGrid w:val="0"/>
              <w:spacing w:line="24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备注（已完成/未完成）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1</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2</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3</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bl>
    <w:p>
      <w:pPr>
        <w:ind w:left="420" w:hanging="420" w:hangingChars="200"/>
        <w:rPr>
          <w:rFonts w:eastAsiaTheme="minorEastAsia"/>
          <w:color w:val="auto"/>
          <w:szCs w:val="21"/>
          <w:highlight w:val="none"/>
        </w:rPr>
      </w:pPr>
      <w:r>
        <w:rPr>
          <w:rFonts w:eastAsiaTheme="minorEastAsia"/>
          <w:color w:val="auto"/>
          <w:szCs w:val="21"/>
          <w:highlight w:val="none"/>
        </w:rPr>
        <w:t>注：</w:t>
      </w:r>
    </w:p>
    <w:p>
      <w:pPr>
        <w:numPr>
          <w:ilvl w:val="0"/>
          <w:numId w:val="1"/>
        </w:numPr>
        <w:adjustRightInd w:val="0"/>
        <w:snapToGrid w:val="0"/>
        <w:spacing w:line="300" w:lineRule="auto"/>
        <w:ind w:left="420" w:hanging="420"/>
        <w:rPr>
          <w:rFonts w:eastAsiaTheme="minorEastAsia"/>
          <w:color w:val="auto"/>
          <w:sz w:val="24"/>
          <w:highlight w:val="none"/>
        </w:rPr>
      </w:pPr>
      <w:r>
        <w:rPr>
          <w:rFonts w:eastAsiaTheme="minorEastAsia"/>
          <w:color w:val="auto"/>
          <w:sz w:val="24"/>
          <w:highlight w:val="none"/>
        </w:rPr>
        <w:t>近三年指</w:t>
      </w:r>
      <w:r>
        <w:rPr>
          <w:rFonts w:hint="eastAsia" w:eastAsiaTheme="minorEastAsia"/>
          <w:color w:val="auto"/>
          <w:sz w:val="24"/>
          <w:highlight w:val="none"/>
        </w:rPr>
        <w:t>201</w:t>
      </w:r>
      <w:r>
        <w:rPr>
          <w:rFonts w:hint="eastAsia" w:eastAsiaTheme="minorEastAsia"/>
          <w:color w:val="auto"/>
          <w:sz w:val="24"/>
          <w:highlight w:val="none"/>
          <w:lang w:val="en-US" w:eastAsia="zh-CN"/>
        </w:rPr>
        <w:t>7</w:t>
      </w:r>
      <w:r>
        <w:rPr>
          <w:rFonts w:hint="eastAsia" w:eastAsiaTheme="minorEastAsia"/>
          <w:color w:val="auto"/>
          <w:sz w:val="24"/>
          <w:highlight w:val="none"/>
        </w:rPr>
        <w:t>年1月1日</w:t>
      </w:r>
      <w:r>
        <w:rPr>
          <w:rFonts w:eastAsiaTheme="minorEastAsia"/>
          <w:color w:val="auto"/>
          <w:sz w:val="24"/>
          <w:highlight w:val="none"/>
        </w:rPr>
        <w:t>至公告发布之日。</w:t>
      </w:r>
    </w:p>
    <w:p>
      <w:pPr>
        <w:numPr>
          <w:ilvl w:val="0"/>
          <w:numId w:val="1"/>
        </w:numPr>
        <w:adjustRightInd w:val="0"/>
        <w:snapToGrid w:val="0"/>
        <w:spacing w:line="300" w:lineRule="auto"/>
        <w:ind w:left="480" w:hanging="480" w:hangingChars="200"/>
        <w:rPr>
          <w:rFonts w:eastAsiaTheme="minorEastAsia"/>
          <w:color w:val="auto"/>
          <w:sz w:val="24"/>
          <w:highlight w:val="none"/>
        </w:rPr>
      </w:pPr>
      <w:r>
        <w:rPr>
          <w:rFonts w:eastAsiaTheme="minorEastAsia"/>
          <w:color w:val="auto"/>
          <w:sz w:val="24"/>
          <w:highlight w:val="none"/>
        </w:rPr>
        <w:t>投标人须随此表附上能明确反映出类似项目定义中的业绩证明材料（招标代理合同或中标通知书或发包人出具的证明材料）。</w:t>
      </w:r>
    </w:p>
    <w:p>
      <w:pPr>
        <w:ind w:firstLine="420"/>
        <w:rPr>
          <w:rFonts w:eastAsiaTheme="minorEastAsia"/>
          <w:color w:val="auto"/>
          <w:sz w:val="24"/>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bookmarkEnd w:id="292"/>
    <w:bookmarkEnd w:id="293"/>
    <w:bookmarkEnd w:id="294"/>
    <w:p>
      <w:pPr>
        <w:pStyle w:val="2"/>
        <w:jc w:val="center"/>
        <w:rPr>
          <w:rFonts w:ascii="Times New Roman" w:hAnsi="Times New Roman" w:eastAsiaTheme="minorEastAsia"/>
          <w:b/>
          <w:color w:val="auto"/>
          <w:highlight w:val="none"/>
        </w:rPr>
      </w:pPr>
      <w:bookmarkStart w:id="297" w:name="_Toc13428"/>
      <w:bookmarkStart w:id="298" w:name="_Toc12328"/>
      <w:r>
        <w:rPr>
          <w:rFonts w:hint="eastAsia" w:ascii="Times New Roman" w:hAnsi="Times New Roman" w:eastAsiaTheme="minorEastAsia"/>
          <w:b/>
          <w:color w:val="auto"/>
          <w:highlight w:val="none"/>
        </w:rPr>
        <w:t>三</w:t>
      </w:r>
      <w:r>
        <w:rPr>
          <w:rFonts w:ascii="Times New Roman" w:hAnsi="Times New Roman" w:eastAsiaTheme="minorEastAsia"/>
          <w:b/>
          <w:color w:val="auto"/>
          <w:highlight w:val="none"/>
        </w:rPr>
        <w:t>、技术部分格式</w:t>
      </w:r>
      <w:bookmarkEnd w:id="297"/>
      <w:bookmarkEnd w:id="298"/>
    </w:p>
    <w:p>
      <w:pPr>
        <w:jc w:val="center"/>
        <w:rPr>
          <w:rFonts w:eastAsiaTheme="minorEastAsia"/>
          <w:b/>
          <w:color w:val="auto"/>
          <w:kern w:val="0"/>
          <w:sz w:val="28"/>
          <w:szCs w:val="28"/>
          <w:highlight w:val="none"/>
        </w:rPr>
      </w:pPr>
      <w:r>
        <w:rPr>
          <w:rFonts w:eastAsiaTheme="minorEastAsia"/>
          <w:b/>
          <w:color w:val="auto"/>
          <w:kern w:val="0"/>
          <w:sz w:val="28"/>
          <w:szCs w:val="28"/>
          <w:highlight w:val="none"/>
        </w:rPr>
        <w:t>服务方案</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建议服务方案</w:t>
      </w:r>
      <w:r>
        <w:rPr>
          <w:rFonts w:eastAsiaTheme="minorEastAsia"/>
          <w:color w:val="auto"/>
          <w:sz w:val="24"/>
          <w:highlight w:val="none"/>
        </w:rPr>
        <w:t>主要从</w:t>
      </w:r>
      <w:r>
        <w:rPr>
          <w:rFonts w:hint="eastAsia" w:eastAsiaTheme="minorEastAsia"/>
          <w:color w:val="auto"/>
          <w:sz w:val="24"/>
          <w:highlight w:val="none"/>
        </w:rPr>
        <w:t>项目人员投入和质量保证、</w:t>
      </w:r>
      <w:r>
        <w:rPr>
          <w:rFonts w:eastAsiaTheme="minorEastAsia"/>
          <w:color w:val="auto"/>
          <w:sz w:val="24"/>
          <w:highlight w:val="none"/>
        </w:rPr>
        <w:t>承揽本项目的优势等方面进行编写。</w:t>
      </w:r>
    </w:p>
    <w:bookmarkEnd w:id="295"/>
    <w:bookmarkEnd w:id="296"/>
    <w:p>
      <w:pPr>
        <w:widowControl/>
        <w:jc w:val="left"/>
        <w:rPr>
          <w:rFonts w:eastAsiaTheme="minorEastAsia"/>
          <w:color w:val="auto"/>
          <w:highlight w:val="none"/>
        </w:rPr>
      </w:pPr>
      <w:r>
        <w:rPr>
          <w:rFonts w:eastAsiaTheme="minorEastAsia"/>
          <w:color w:val="auto"/>
          <w:highlight w:val="none"/>
        </w:rPr>
        <w:br w:type="page"/>
      </w:r>
    </w:p>
    <w:p>
      <w:pPr>
        <w:pStyle w:val="3"/>
        <w:spacing w:before="0" w:after="0" w:line="360" w:lineRule="auto"/>
        <w:rPr>
          <w:rFonts w:eastAsiaTheme="minorEastAsia"/>
          <w:color w:val="auto"/>
          <w:highlight w:val="none"/>
        </w:rPr>
      </w:pPr>
      <w:bookmarkStart w:id="299" w:name="_Toc8002"/>
      <w:bookmarkStart w:id="300" w:name="_Toc7434"/>
      <w:r>
        <w:rPr>
          <w:rFonts w:eastAsiaTheme="minorEastAsia"/>
          <w:color w:val="auto"/>
          <w:highlight w:val="none"/>
        </w:rPr>
        <w:t>第五章</w:t>
      </w:r>
      <w:r>
        <w:rPr>
          <w:rFonts w:hint="eastAsia" w:eastAsiaTheme="minorEastAsia"/>
          <w:color w:val="auto"/>
          <w:highlight w:val="none"/>
        </w:rPr>
        <w:t xml:space="preserve">  </w:t>
      </w:r>
      <w:r>
        <w:rPr>
          <w:rFonts w:eastAsiaTheme="minorEastAsia"/>
          <w:color w:val="auto"/>
          <w:highlight w:val="none"/>
        </w:rPr>
        <w:t>评比办法</w:t>
      </w:r>
      <w:bookmarkEnd w:id="299"/>
      <w:bookmarkEnd w:id="300"/>
    </w:p>
    <w:p>
      <w:pPr>
        <w:pStyle w:val="2"/>
        <w:spacing w:before="0" w:after="0" w:line="360" w:lineRule="auto"/>
        <w:rPr>
          <w:rFonts w:ascii="Times New Roman" w:hAnsi="Times New Roman" w:eastAsiaTheme="minorEastAsia"/>
          <w:b/>
          <w:color w:val="auto"/>
          <w:sz w:val="24"/>
          <w:szCs w:val="24"/>
          <w:highlight w:val="none"/>
        </w:rPr>
      </w:pPr>
      <w:bookmarkStart w:id="301" w:name="_Toc7462"/>
      <w:bookmarkStart w:id="302" w:name="_Toc16164"/>
      <w:r>
        <w:rPr>
          <w:rFonts w:ascii="Times New Roman" w:hAnsi="Times New Roman" w:eastAsiaTheme="minorEastAsia"/>
          <w:b/>
          <w:color w:val="auto"/>
          <w:sz w:val="24"/>
          <w:szCs w:val="24"/>
          <w:highlight w:val="none"/>
        </w:rPr>
        <w:t>一、评比方法</w:t>
      </w:r>
      <w:bookmarkEnd w:id="301"/>
      <w:bookmarkEnd w:id="302"/>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本次评比采取综合评分法。</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1.评比委员会</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1.1本项目的评比委员会由</w:t>
      </w:r>
      <w:r>
        <w:rPr>
          <w:rFonts w:hint="eastAsia" w:eastAsiaTheme="minorEastAsia"/>
          <w:color w:val="auto"/>
          <w:sz w:val="24"/>
          <w:highlight w:val="none"/>
        </w:rPr>
        <w:t>3</w:t>
      </w:r>
      <w:r>
        <w:rPr>
          <w:rFonts w:eastAsiaTheme="minorEastAsia"/>
          <w:color w:val="auto"/>
          <w:sz w:val="24"/>
          <w:highlight w:val="none"/>
        </w:rPr>
        <w:t>名</w:t>
      </w:r>
      <w:r>
        <w:rPr>
          <w:rFonts w:hint="eastAsia" w:eastAsiaTheme="minorEastAsia"/>
          <w:color w:val="auto"/>
          <w:sz w:val="24"/>
          <w:highlight w:val="none"/>
        </w:rPr>
        <w:t>或以上人员</w:t>
      </w:r>
      <w:r>
        <w:rPr>
          <w:rFonts w:eastAsiaTheme="minorEastAsia"/>
          <w:color w:val="auto"/>
          <w:sz w:val="24"/>
          <w:highlight w:val="none"/>
        </w:rPr>
        <w:t>组成。</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1.2评比委员会成员独立、客观、公正地履行职责，遵守职业道德，对所提出的评比意见承担个人责任；评比委员会成员应对整个评比活动保密。</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1.3评比委员会成员不得在比选期间私下接触参加比选的参选人员，不得接受参选人或相关人员的任何馈赠，不得参加参选人以任何形式组织的宴请、娱乐、旅游等活动，不得透露与评比工作有关的内容情况。比选人应当对参选人报送的文件内容保密，比选人及参与者不得泄露。如果参加竞争的参选人试图采用不正当手段对评委施加影响，取消其比选资格。</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1.4严禁任何单位或个人以任何形式操纵、干预评比过程和评比结果。</w:t>
      </w:r>
    </w:p>
    <w:p>
      <w:pPr>
        <w:spacing w:line="360" w:lineRule="auto"/>
        <w:ind w:right="753" w:firstLine="480" w:firstLineChars="200"/>
        <w:jc w:val="left"/>
        <w:rPr>
          <w:rFonts w:eastAsiaTheme="minorEastAsia"/>
          <w:color w:val="auto"/>
          <w:sz w:val="24"/>
          <w:highlight w:val="none"/>
        </w:rPr>
      </w:pPr>
      <w:bookmarkStart w:id="303" w:name="_Toc310318596"/>
      <w:r>
        <w:rPr>
          <w:rFonts w:eastAsiaTheme="minorEastAsia"/>
          <w:color w:val="auto"/>
          <w:sz w:val="24"/>
          <w:highlight w:val="none"/>
        </w:rPr>
        <w:t>2.评比</w:t>
      </w:r>
      <w:bookmarkEnd w:id="303"/>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2.2评比程序</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2.2.1比选申请人</w:t>
      </w:r>
      <w:r>
        <w:rPr>
          <w:rFonts w:hint="eastAsia" w:eastAsiaTheme="minorEastAsia"/>
          <w:color w:val="auto"/>
          <w:sz w:val="24"/>
          <w:highlight w:val="none"/>
        </w:rPr>
        <w:t>送达比选申请文件后即可离去</w:t>
      </w:r>
      <w:r>
        <w:rPr>
          <w:rFonts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2.2.2评比委员会确认文件是否</w:t>
      </w:r>
      <w:r>
        <w:rPr>
          <w:rFonts w:hint="eastAsia" w:eastAsiaTheme="minorEastAsia"/>
          <w:color w:val="auto"/>
          <w:sz w:val="24"/>
          <w:highlight w:val="none"/>
        </w:rPr>
        <w:t>按规定</w:t>
      </w:r>
      <w:r>
        <w:rPr>
          <w:rFonts w:eastAsiaTheme="minorEastAsia"/>
          <w:color w:val="auto"/>
          <w:sz w:val="24"/>
          <w:highlight w:val="none"/>
        </w:rPr>
        <w:t>密封</w:t>
      </w:r>
      <w:r>
        <w:rPr>
          <w:rFonts w:hint="eastAsia"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2.2.3评比委员会对比选申请文件进行报价部分、资信</w:t>
      </w:r>
      <w:r>
        <w:rPr>
          <w:rFonts w:hint="eastAsia" w:eastAsiaTheme="minorEastAsia"/>
          <w:color w:val="auto"/>
          <w:sz w:val="24"/>
          <w:highlight w:val="none"/>
        </w:rPr>
        <w:t>部分</w:t>
      </w:r>
      <w:r>
        <w:rPr>
          <w:rFonts w:eastAsiaTheme="minorEastAsia"/>
          <w:color w:val="auto"/>
          <w:sz w:val="24"/>
          <w:highlight w:val="none"/>
        </w:rPr>
        <w:t>和技术部分评审。</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4</w:t>
      </w:r>
      <w:r>
        <w:rPr>
          <w:rFonts w:eastAsiaTheme="minorEastAsia"/>
          <w:color w:val="auto"/>
          <w:sz w:val="24"/>
          <w:highlight w:val="none"/>
        </w:rPr>
        <w:t>评分汇总：报价、资信和技术部分得分即为比选申请人评分综合得分。各项指标的分数计算四舍五入，取小数点后两位。</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5</w:t>
      </w:r>
      <w:r>
        <w:rPr>
          <w:rFonts w:hint="eastAsia" w:eastAsiaTheme="minorEastAsia"/>
          <w:b/>
          <w:bCs/>
          <w:color w:val="auto"/>
          <w:sz w:val="24"/>
          <w:highlight w:val="none"/>
        </w:rPr>
        <w:t>本次比选选择一家采购代理机构，即按评比后得分由高到低的排列顺序推荐综合得分排名第一的为中标人</w:t>
      </w:r>
    </w:p>
    <w:p>
      <w:pPr>
        <w:spacing w:line="360" w:lineRule="auto"/>
        <w:ind w:right="5" w:firstLine="482" w:firstLineChars="200"/>
        <w:jc w:val="left"/>
        <w:rPr>
          <w:rFonts w:eastAsiaTheme="minorEastAsia"/>
          <w:color w:val="auto"/>
          <w:sz w:val="24"/>
          <w:highlight w:val="none"/>
        </w:rPr>
      </w:pPr>
      <w:r>
        <w:rPr>
          <w:rFonts w:hint="eastAsia"/>
          <w:b/>
          <w:color w:val="auto"/>
          <w:sz w:val="24"/>
          <w:highlight w:val="none"/>
        </w:rPr>
        <w:t>如果有</w:t>
      </w:r>
      <w:r>
        <w:rPr>
          <w:b/>
          <w:color w:val="auto"/>
          <w:sz w:val="24"/>
          <w:highlight w:val="none"/>
        </w:rPr>
        <w:t>2</w:t>
      </w:r>
      <w:r>
        <w:rPr>
          <w:rFonts w:hint="eastAsia"/>
          <w:b/>
          <w:color w:val="auto"/>
          <w:sz w:val="24"/>
          <w:highlight w:val="none"/>
        </w:rPr>
        <w:t>个或</w:t>
      </w:r>
      <w:r>
        <w:rPr>
          <w:b/>
          <w:color w:val="auto"/>
          <w:sz w:val="24"/>
          <w:highlight w:val="none"/>
        </w:rPr>
        <w:t>2</w:t>
      </w:r>
      <w:r>
        <w:rPr>
          <w:rFonts w:hint="eastAsia"/>
          <w:b/>
          <w:color w:val="auto"/>
          <w:sz w:val="24"/>
          <w:highlight w:val="none"/>
        </w:rPr>
        <w:t>个以上的比选申请人综合评分相同，则报价得分较高的排名靠前；如报价得分也相同，则资信部分得分较高的排名靠前；如资信部分得分也相同，则技术部分得分较高的排名靠前，如技术部分得分也相同，则由评比委员会采用随机抽取的方式确定排名顺序</w:t>
      </w:r>
      <w:r>
        <w:rPr>
          <w:rFonts w:eastAsiaTheme="minorEastAsia"/>
          <w:color w:val="auto"/>
          <w:sz w:val="24"/>
          <w:highlight w:val="none"/>
        </w:rPr>
        <w:t>。</w:t>
      </w:r>
    </w:p>
    <w:p>
      <w:pPr>
        <w:spacing w:line="360" w:lineRule="auto"/>
        <w:ind w:right="5" w:firstLine="480" w:firstLineChars="200"/>
        <w:jc w:val="left"/>
        <w:rPr>
          <w:b/>
          <w:color w:val="auto"/>
          <w:sz w:val="24"/>
          <w:highlight w:val="none"/>
        </w:rPr>
      </w:pPr>
      <w:r>
        <w:rPr>
          <w:rFonts w:eastAsiaTheme="minorEastAsia"/>
          <w:color w:val="auto"/>
          <w:sz w:val="24"/>
          <w:highlight w:val="none"/>
        </w:rPr>
        <w:t>2.2.6在评比过程中，评比委员、记录人等有关人员在比选记录表上签字确认</w:t>
      </w:r>
      <w:r>
        <w:rPr>
          <w:rFonts w:hint="eastAsia"/>
          <w:b/>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7</w:t>
      </w:r>
      <w:r>
        <w:rPr>
          <w:rFonts w:eastAsiaTheme="minorEastAsia"/>
          <w:color w:val="auto"/>
          <w:sz w:val="24"/>
          <w:highlight w:val="none"/>
        </w:rPr>
        <w:t>评比结束。</w:t>
      </w:r>
    </w:p>
    <w:p>
      <w:pPr>
        <w:spacing w:line="360" w:lineRule="auto"/>
        <w:ind w:right="753" w:firstLine="480" w:firstLineChars="200"/>
        <w:jc w:val="left"/>
        <w:rPr>
          <w:rFonts w:eastAsiaTheme="minorEastAsia"/>
          <w:color w:val="auto"/>
          <w:sz w:val="24"/>
          <w:highlight w:val="none"/>
        </w:rPr>
      </w:pPr>
      <w:bookmarkStart w:id="304" w:name="_Toc114052375"/>
      <w:bookmarkStart w:id="305" w:name="_Toc310318597"/>
      <w:bookmarkStart w:id="306" w:name="_Toc114052439"/>
      <w:bookmarkStart w:id="307" w:name="_Toc286386859"/>
      <w:r>
        <w:rPr>
          <w:rFonts w:eastAsiaTheme="minorEastAsia"/>
          <w:color w:val="auto"/>
          <w:sz w:val="24"/>
          <w:highlight w:val="none"/>
        </w:rPr>
        <w:t>3.评比</w:t>
      </w:r>
      <w:bookmarkEnd w:id="304"/>
      <w:bookmarkEnd w:id="305"/>
      <w:bookmarkEnd w:id="306"/>
      <w:bookmarkEnd w:id="307"/>
      <w:r>
        <w:rPr>
          <w:rFonts w:eastAsiaTheme="minorEastAsia"/>
          <w:color w:val="auto"/>
          <w:sz w:val="24"/>
          <w:highlight w:val="none"/>
        </w:rPr>
        <w:t>工作相关要求</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3.1本次比选的工作由评比委员会负责。</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3.2在比选申请文件递交截止时间到达时提交比选申请文件的比选申请人少于3家的</w:t>
      </w:r>
      <w:r>
        <w:rPr>
          <w:rFonts w:hint="eastAsia" w:eastAsiaTheme="minorEastAsia"/>
          <w:color w:val="auto"/>
          <w:sz w:val="24"/>
          <w:highlight w:val="none"/>
        </w:rPr>
        <w:t>，则直接进入1家或2家评比。</w:t>
      </w:r>
    </w:p>
    <w:p>
      <w:pPr>
        <w:spacing w:line="360" w:lineRule="auto"/>
        <w:ind w:right="-21" w:firstLine="480" w:firstLineChars="200"/>
        <w:jc w:val="left"/>
        <w:rPr>
          <w:rFonts w:eastAsiaTheme="minorEastAsia"/>
          <w:color w:val="auto"/>
          <w:sz w:val="24"/>
          <w:highlight w:val="none"/>
        </w:rPr>
      </w:pPr>
      <w:r>
        <w:rPr>
          <w:rFonts w:hint="eastAsia" w:eastAsiaTheme="minorEastAsia"/>
          <w:color w:val="auto"/>
          <w:sz w:val="24"/>
          <w:highlight w:val="none"/>
        </w:rPr>
        <w:t xml:space="preserve">3.3 </w:t>
      </w:r>
      <w:r>
        <w:rPr>
          <w:rFonts w:eastAsiaTheme="minorEastAsia"/>
          <w:color w:val="auto"/>
          <w:sz w:val="24"/>
          <w:highlight w:val="none"/>
        </w:rPr>
        <w:t>出现下列特殊情况之一，</w:t>
      </w:r>
      <w:r>
        <w:rPr>
          <w:rFonts w:hint="eastAsia" w:eastAsiaTheme="minorEastAsia"/>
          <w:color w:val="auto"/>
          <w:sz w:val="24"/>
          <w:highlight w:val="none"/>
        </w:rPr>
        <w:t>则本公司将不再组织比选，而更改为直接委托方式：</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3.2.1在比选申请文件递交截止时间到达时</w:t>
      </w:r>
      <w:r>
        <w:rPr>
          <w:rFonts w:hint="eastAsia" w:eastAsiaTheme="minorEastAsia"/>
          <w:color w:val="auto"/>
          <w:sz w:val="24"/>
          <w:highlight w:val="none"/>
        </w:rPr>
        <w:t>没有</w:t>
      </w:r>
      <w:r>
        <w:rPr>
          <w:rFonts w:eastAsiaTheme="minorEastAsia"/>
          <w:color w:val="auto"/>
          <w:sz w:val="24"/>
          <w:highlight w:val="none"/>
        </w:rPr>
        <w:t>比选申请人提交比选申请文件的；</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3.2.2经评审后，无合格比选申请人的。</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4</w:t>
      </w:r>
      <w:r>
        <w:rPr>
          <w:rFonts w:eastAsiaTheme="minorEastAsia"/>
          <w:color w:val="auto"/>
          <w:sz w:val="24"/>
          <w:highlight w:val="none"/>
        </w:rPr>
        <w:t>评比过程的保密性。评比委员会成员、有关工作人员及其他知情人不得透露对比选申请文件的评比和比较、中选候选人的推荐情况以及与比选有关的其他情况。</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5</w:t>
      </w:r>
      <w:r>
        <w:rPr>
          <w:rFonts w:eastAsiaTheme="minorEastAsia"/>
          <w:color w:val="auto"/>
          <w:sz w:val="24"/>
          <w:highlight w:val="none"/>
        </w:rPr>
        <w:t>比选申请人在评比过程中所进行的力图影响评比公正性的活动，可能导致其中选无效。</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比选申请文件的澄清或说明</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.1评比时评比委员会将</w:t>
      </w:r>
      <w:r>
        <w:rPr>
          <w:rFonts w:hint="eastAsia" w:eastAsiaTheme="minorEastAsia"/>
          <w:color w:val="auto"/>
          <w:sz w:val="24"/>
          <w:highlight w:val="none"/>
        </w:rPr>
        <w:t>通过比选申请文件中的联系方式，联系并</w:t>
      </w:r>
      <w:r>
        <w:rPr>
          <w:rFonts w:eastAsiaTheme="minorEastAsia"/>
          <w:color w:val="auto"/>
          <w:sz w:val="24"/>
          <w:highlight w:val="none"/>
        </w:rPr>
        <w:t>要求比选申请人</w:t>
      </w:r>
      <w:r>
        <w:rPr>
          <w:rFonts w:hint="eastAsia" w:eastAsiaTheme="minorEastAsia"/>
          <w:color w:val="auto"/>
          <w:sz w:val="24"/>
          <w:highlight w:val="none"/>
        </w:rPr>
        <w:t>在合理期限内</w:t>
      </w:r>
      <w:r>
        <w:rPr>
          <w:rFonts w:eastAsiaTheme="minorEastAsia"/>
          <w:color w:val="auto"/>
          <w:sz w:val="24"/>
          <w:highlight w:val="none"/>
        </w:rPr>
        <w:t>就其比选申请文件中含义不明确、同类问题表述不一致或有明显文字错误等的内容</w:t>
      </w:r>
      <w:r>
        <w:rPr>
          <w:rFonts w:hint="eastAsia" w:eastAsiaTheme="minorEastAsia"/>
          <w:color w:val="auto"/>
          <w:sz w:val="24"/>
          <w:highlight w:val="none"/>
        </w:rPr>
        <w:t>通过微信或钉钉等线上方式</w:t>
      </w:r>
      <w:r>
        <w:rPr>
          <w:rFonts w:eastAsiaTheme="minorEastAsia"/>
          <w:color w:val="auto"/>
          <w:sz w:val="24"/>
          <w:highlight w:val="none"/>
        </w:rPr>
        <w:t>予以澄清或说明</w:t>
      </w:r>
      <w:r>
        <w:rPr>
          <w:rFonts w:hint="eastAsia" w:eastAsiaTheme="minorEastAsia"/>
          <w:color w:val="auto"/>
          <w:sz w:val="24"/>
          <w:highlight w:val="none"/>
        </w:rPr>
        <w:t>，具体方式由评比委员会和比选申请人代表协商确定</w:t>
      </w:r>
      <w:r>
        <w:rPr>
          <w:rFonts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.2比选申请人</w:t>
      </w:r>
      <w:r>
        <w:rPr>
          <w:rFonts w:hint="eastAsia" w:eastAsiaTheme="minorEastAsia"/>
          <w:color w:val="auto"/>
          <w:sz w:val="24"/>
          <w:highlight w:val="none"/>
        </w:rPr>
        <w:t>通过上述方式澄清或说明后，需以书面形式补充提供</w:t>
      </w:r>
      <w:r>
        <w:rPr>
          <w:rFonts w:eastAsiaTheme="minorEastAsia"/>
          <w:color w:val="auto"/>
          <w:sz w:val="24"/>
          <w:highlight w:val="none"/>
        </w:rPr>
        <w:t>澄清或说明的内容，该澄清或说明函应有比选申请人法定代表人或其委托代理人的签名</w:t>
      </w:r>
      <w:r>
        <w:rPr>
          <w:rFonts w:hint="eastAsia" w:eastAsiaTheme="minorEastAsia"/>
          <w:color w:val="auto"/>
          <w:sz w:val="24"/>
          <w:highlight w:val="none"/>
        </w:rPr>
        <w:t>，可通过邮寄的方式送达比选人</w:t>
      </w:r>
      <w:r>
        <w:rPr>
          <w:rFonts w:eastAsiaTheme="minorEastAsia"/>
          <w:color w:val="auto"/>
          <w:sz w:val="24"/>
          <w:highlight w:val="none"/>
        </w:rPr>
        <w:t>。</w:t>
      </w:r>
      <w:r>
        <w:rPr>
          <w:rFonts w:hint="eastAsia" w:eastAsiaTheme="minorEastAsia"/>
          <w:b/>
          <w:bCs/>
          <w:color w:val="auto"/>
          <w:sz w:val="24"/>
          <w:highlight w:val="none"/>
        </w:rPr>
        <w:t>比选人收齐相关</w:t>
      </w:r>
      <w:r>
        <w:rPr>
          <w:rFonts w:eastAsiaTheme="minorEastAsia"/>
          <w:b/>
          <w:bCs/>
          <w:color w:val="auto"/>
          <w:sz w:val="24"/>
          <w:highlight w:val="none"/>
        </w:rPr>
        <w:t>澄清或说明函</w:t>
      </w:r>
      <w:r>
        <w:rPr>
          <w:rFonts w:hint="eastAsia" w:eastAsiaTheme="minorEastAsia"/>
          <w:b/>
          <w:bCs/>
          <w:color w:val="auto"/>
          <w:sz w:val="24"/>
          <w:highlight w:val="none"/>
        </w:rPr>
        <w:t>后方进行评比结果公示。</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.3比选申请人的澄清或说明函作为比选申请文件的组成部分。</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.4比选申请人对比选申请文件的澄清或说明不得超出比选申请文件的范围或改变投标的实质内容。</w:t>
      </w:r>
    </w:p>
    <w:p>
      <w:pPr>
        <w:spacing w:line="360" w:lineRule="auto"/>
        <w:ind w:right="753" w:firstLine="480" w:firstLineChars="200"/>
        <w:jc w:val="left"/>
        <w:rPr>
          <w:rFonts w:eastAsiaTheme="minorEastAsia"/>
          <w:color w:val="auto"/>
          <w:sz w:val="24"/>
          <w:highlight w:val="none"/>
        </w:rPr>
      </w:pPr>
      <w:bookmarkStart w:id="308" w:name="_Toc310318598"/>
      <w:r>
        <w:rPr>
          <w:rFonts w:eastAsiaTheme="minorEastAsia"/>
          <w:color w:val="auto"/>
          <w:sz w:val="24"/>
          <w:highlight w:val="none"/>
        </w:rPr>
        <w:t>4.比选申请文件评比</w:t>
      </w:r>
      <w:bookmarkEnd w:id="308"/>
      <w:r>
        <w:rPr>
          <w:rFonts w:hint="eastAsia" w:eastAsiaTheme="minorEastAsia"/>
          <w:color w:val="auto"/>
          <w:sz w:val="24"/>
          <w:highlight w:val="none"/>
        </w:rPr>
        <w:t>的否决条款</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比选申请人或其比选</w:t>
      </w:r>
      <w:r>
        <w:rPr>
          <w:rFonts w:hint="eastAsia" w:eastAsiaTheme="minorEastAsia"/>
          <w:color w:val="auto"/>
          <w:sz w:val="24"/>
          <w:highlight w:val="none"/>
        </w:rPr>
        <w:t>申请</w:t>
      </w:r>
      <w:r>
        <w:rPr>
          <w:rFonts w:eastAsiaTheme="minorEastAsia"/>
          <w:color w:val="auto"/>
          <w:sz w:val="24"/>
          <w:highlight w:val="none"/>
        </w:rPr>
        <w:t>文件有下列情况之一者，其比选申请文件将视为无效或作</w:t>
      </w:r>
      <w:r>
        <w:rPr>
          <w:rFonts w:hint="eastAsia" w:eastAsiaTheme="minorEastAsia"/>
          <w:color w:val="auto"/>
          <w:sz w:val="24"/>
          <w:highlight w:val="none"/>
        </w:rPr>
        <w:t>否决</w:t>
      </w:r>
      <w:r>
        <w:rPr>
          <w:rFonts w:eastAsiaTheme="minorEastAsia"/>
          <w:color w:val="auto"/>
          <w:sz w:val="24"/>
          <w:highlight w:val="none"/>
        </w:rPr>
        <w:t>处理：</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（1）比选申请文件未按照规定的要求装订、密封和标记的；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2</w:t>
      </w:r>
      <w:r>
        <w:rPr>
          <w:rFonts w:eastAsiaTheme="minorEastAsia"/>
          <w:b/>
          <w:bCs/>
          <w:color w:val="auto"/>
          <w:sz w:val="24"/>
          <w:highlight w:val="none"/>
        </w:rPr>
        <w:t>）</w:t>
      </w:r>
      <w:r>
        <w:rPr>
          <w:rFonts w:hint="eastAsia" w:eastAsiaTheme="minorEastAsia"/>
          <w:b/>
          <w:bCs/>
          <w:color w:val="auto"/>
          <w:sz w:val="24"/>
          <w:highlight w:val="none"/>
        </w:rPr>
        <w:t>比选</w:t>
      </w:r>
      <w:r>
        <w:rPr>
          <w:rFonts w:eastAsiaTheme="minorEastAsia"/>
          <w:b/>
          <w:bCs/>
          <w:color w:val="auto"/>
          <w:sz w:val="24"/>
          <w:highlight w:val="none"/>
        </w:rPr>
        <w:t>须知第11条规定的比选申请文件有关内容未按</w:t>
      </w:r>
      <w:r>
        <w:rPr>
          <w:rFonts w:hint="eastAsia" w:eastAsiaTheme="minorEastAsia"/>
          <w:b/>
          <w:bCs/>
          <w:color w:val="auto"/>
          <w:sz w:val="24"/>
          <w:highlight w:val="none"/>
        </w:rPr>
        <w:t>比选</w:t>
      </w:r>
      <w:r>
        <w:rPr>
          <w:rFonts w:eastAsiaTheme="minorEastAsia"/>
          <w:b/>
          <w:bCs/>
          <w:color w:val="auto"/>
          <w:sz w:val="24"/>
          <w:highlight w:val="none"/>
        </w:rPr>
        <w:t>须知第13条规定加盖比选申请人公章、未经比选申请人法定代表人或其委托代理人签字或盖章的；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3</w:t>
      </w:r>
      <w:r>
        <w:rPr>
          <w:rFonts w:eastAsiaTheme="minorEastAsia"/>
          <w:b/>
          <w:bCs/>
          <w:color w:val="auto"/>
          <w:sz w:val="24"/>
          <w:highlight w:val="none"/>
        </w:rPr>
        <w:t>）逾期</w:t>
      </w:r>
      <w:r>
        <w:rPr>
          <w:rFonts w:hint="eastAsia" w:eastAsiaTheme="minorEastAsia"/>
          <w:b/>
          <w:bCs/>
          <w:color w:val="auto"/>
          <w:sz w:val="24"/>
          <w:highlight w:val="none"/>
        </w:rPr>
        <w:t>送达</w:t>
      </w:r>
      <w:r>
        <w:rPr>
          <w:rFonts w:eastAsiaTheme="minorEastAsia"/>
          <w:b/>
          <w:bCs/>
          <w:color w:val="auto"/>
          <w:sz w:val="24"/>
          <w:highlight w:val="none"/>
        </w:rPr>
        <w:t>比选申请文件的；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4</w:t>
      </w:r>
      <w:r>
        <w:rPr>
          <w:rFonts w:eastAsiaTheme="minorEastAsia"/>
          <w:b/>
          <w:bCs/>
          <w:color w:val="auto"/>
          <w:sz w:val="24"/>
          <w:highlight w:val="none"/>
        </w:rPr>
        <w:t>）比选申请文件内容不真实的；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5</w:t>
      </w:r>
      <w:r>
        <w:rPr>
          <w:rFonts w:eastAsiaTheme="minorEastAsia"/>
          <w:b/>
          <w:bCs/>
          <w:color w:val="auto"/>
          <w:sz w:val="24"/>
          <w:highlight w:val="none"/>
        </w:rPr>
        <w:t>）比选申请文件实质上没有响应比选文件的要求的；（包括以下内容：比选项目所涉及的资格要求、价格、服务内容、合同条款等）；</w:t>
      </w:r>
    </w:p>
    <w:p>
      <w:pPr>
        <w:spacing w:line="360" w:lineRule="auto"/>
        <w:ind w:right="-21" w:firstLine="482" w:firstLineChars="200"/>
        <w:jc w:val="left"/>
        <w:rPr>
          <w:rFonts w:eastAsiaTheme="minorEastAsia"/>
          <w:b/>
          <w:bCs/>
          <w:color w:val="auto"/>
          <w:sz w:val="24"/>
          <w:highlight w:val="none"/>
        </w:rPr>
      </w:pPr>
      <w:r>
        <w:rPr>
          <w:rFonts w:hint="eastAsia" w:eastAsiaTheme="minorEastAsia"/>
          <w:b/>
          <w:bCs/>
          <w:color w:val="auto"/>
          <w:sz w:val="24"/>
          <w:highlight w:val="none"/>
        </w:rPr>
        <w:t>（6）</w:t>
      </w:r>
      <w:r>
        <w:rPr>
          <w:rFonts w:eastAsiaTheme="minorEastAsia"/>
          <w:b/>
          <w:bCs/>
          <w:color w:val="auto"/>
          <w:sz w:val="24"/>
          <w:highlight w:val="none"/>
        </w:rPr>
        <w:t>比选申请人不按报价表格式和内容要求报价的；</w:t>
      </w:r>
    </w:p>
    <w:p>
      <w:pPr>
        <w:spacing w:line="360" w:lineRule="auto"/>
        <w:ind w:right="-21" w:firstLine="482" w:firstLineChars="200"/>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7</w:t>
      </w:r>
      <w:r>
        <w:rPr>
          <w:rFonts w:eastAsiaTheme="minorEastAsia"/>
          <w:b/>
          <w:bCs/>
          <w:color w:val="auto"/>
          <w:sz w:val="24"/>
          <w:highlight w:val="none"/>
        </w:rPr>
        <w:t>）比选申请人不符合</w:t>
      </w:r>
      <w:r>
        <w:rPr>
          <w:rFonts w:hint="eastAsia" w:eastAsiaTheme="minorEastAsia"/>
          <w:b/>
          <w:bCs/>
          <w:color w:val="auto"/>
          <w:sz w:val="24"/>
          <w:highlight w:val="none"/>
        </w:rPr>
        <w:t>比选须知</w:t>
      </w:r>
      <w:r>
        <w:rPr>
          <w:rFonts w:eastAsiaTheme="minorEastAsia"/>
          <w:b/>
          <w:bCs/>
          <w:color w:val="auto"/>
          <w:sz w:val="24"/>
          <w:highlight w:val="none"/>
        </w:rPr>
        <w:t>前附表第9</w:t>
      </w:r>
      <w:r>
        <w:rPr>
          <w:rFonts w:hint="eastAsia" w:eastAsiaTheme="minorEastAsia"/>
          <w:b/>
          <w:bCs/>
          <w:color w:val="auto"/>
          <w:sz w:val="24"/>
          <w:highlight w:val="none"/>
        </w:rPr>
        <w:t>项</w:t>
      </w:r>
      <w:r>
        <w:rPr>
          <w:rFonts w:eastAsiaTheme="minorEastAsia"/>
          <w:b/>
          <w:bCs/>
          <w:color w:val="auto"/>
          <w:sz w:val="24"/>
          <w:highlight w:val="none"/>
        </w:rPr>
        <w:t>所述资格要求或比选申请人符合前附表第9项所述资格要求但就本比选项目分别提交两个（每个正本一份、副本</w:t>
      </w:r>
      <w:r>
        <w:rPr>
          <w:rFonts w:hint="eastAsia" w:eastAsiaTheme="minorEastAsia"/>
          <w:b/>
          <w:bCs/>
          <w:color w:val="auto"/>
          <w:sz w:val="24"/>
          <w:highlight w:val="none"/>
        </w:rPr>
        <w:t>二</w:t>
      </w:r>
      <w:r>
        <w:rPr>
          <w:rFonts w:eastAsiaTheme="minorEastAsia"/>
          <w:b/>
          <w:bCs/>
          <w:color w:val="auto"/>
          <w:sz w:val="24"/>
          <w:highlight w:val="none"/>
        </w:rPr>
        <w:t>份）及以上的比选申请文件的。</w:t>
      </w:r>
    </w:p>
    <w:p>
      <w:pPr>
        <w:pStyle w:val="2"/>
        <w:spacing w:before="0" w:after="0" w:line="360" w:lineRule="auto"/>
        <w:rPr>
          <w:rFonts w:ascii="Times New Roman" w:hAnsi="Times New Roman" w:eastAsiaTheme="minorEastAsia"/>
          <w:color w:val="auto"/>
          <w:sz w:val="24"/>
          <w:highlight w:val="none"/>
        </w:rPr>
      </w:pPr>
      <w:bookmarkStart w:id="309" w:name="_Toc9696"/>
      <w:bookmarkStart w:id="310" w:name="_Toc31078"/>
      <w:bookmarkStart w:id="311" w:name="_Toc28207"/>
      <w:bookmarkStart w:id="312" w:name="_Toc2392"/>
      <w:bookmarkStart w:id="313" w:name="_Toc10918"/>
      <w:bookmarkStart w:id="314" w:name="_Toc26842"/>
      <w:bookmarkStart w:id="315" w:name="_Toc32296"/>
      <w:bookmarkStart w:id="316" w:name="_Toc3005"/>
      <w:bookmarkStart w:id="317" w:name="_Toc18027"/>
      <w:bookmarkStart w:id="318" w:name="_Toc2498"/>
      <w:bookmarkStart w:id="319" w:name="_Toc13406"/>
      <w:r>
        <w:rPr>
          <w:rFonts w:ascii="Times New Roman" w:hAnsi="Times New Roman" w:eastAsiaTheme="minorEastAsia"/>
          <w:b/>
          <w:color w:val="auto"/>
          <w:sz w:val="24"/>
          <w:szCs w:val="24"/>
          <w:highlight w:val="none"/>
        </w:rPr>
        <w:t>二、评分细则</w:t>
      </w:r>
      <w:bookmarkEnd w:id="309"/>
      <w:bookmarkEnd w:id="310"/>
      <w:bookmarkEnd w:id="311"/>
      <w:bookmarkEnd w:id="312"/>
      <w:bookmarkEnd w:id="313"/>
      <w:bookmarkEnd w:id="314"/>
      <w:bookmarkEnd w:id="315"/>
      <w:bookmarkEnd w:id="316"/>
      <w:bookmarkEnd w:id="317"/>
      <w:bookmarkEnd w:id="318"/>
      <w:bookmarkEnd w:id="319"/>
      <w:bookmarkStart w:id="320" w:name="_Toc15382"/>
      <w:bookmarkStart w:id="321" w:name="_Toc18752"/>
      <w:bookmarkStart w:id="322" w:name="_Toc1358"/>
    </w:p>
    <w:p>
      <w:pPr>
        <w:spacing w:line="360" w:lineRule="auto"/>
        <w:jc w:val="left"/>
        <w:rPr>
          <w:rFonts w:hint="eastAsia" w:eastAsiaTheme="minorEastAsia"/>
          <w:b/>
          <w:color w:val="auto"/>
          <w:sz w:val="24"/>
          <w:highlight w:val="none"/>
        </w:rPr>
      </w:pPr>
      <w:r>
        <w:rPr>
          <w:rFonts w:hint="eastAsia" w:eastAsiaTheme="minorEastAsia"/>
          <w:b/>
          <w:color w:val="auto"/>
          <w:sz w:val="24"/>
          <w:highlight w:val="none"/>
        </w:rPr>
        <w:t>1</w:t>
      </w:r>
      <w:r>
        <w:rPr>
          <w:rFonts w:eastAsiaTheme="minorEastAsia"/>
          <w:b/>
          <w:color w:val="auto"/>
          <w:sz w:val="24"/>
          <w:highlight w:val="none"/>
        </w:rPr>
        <w:t>.报价部分评审细则</w:t>
      </w:r>
      <w:bookmarkEnd w:id="320"/>
      <w:bookmarkEnd w:id="321"/>
      <w:bookmarkEnd w:id="322"/>
      <w:r>
        <w:rPr>
          <w:rFonts w:eastAsiaTheme="minorEastAsia"/>
          <w:b/>
          <w:color w:val="auto"/>
          <w:sz w:val="24"/>
          <w:highlight w:val="none"/>
        </w:rPr>
        <w:t>（满分</w:t>
      </w:r>
      <w:r>
        <w:rPr>
          <w:rFonts w:hint="eastAsia" w:eastAsiaTheme="minorEastAsia"/>
          <w:b/>
          <w:color w:val="auto"/>
          <w:sz w:val="24"/>
          <w:highlight w:val="none"/>
          <w:lang w:val="en-US" w:eastAsia="zh-CN"/>
        </w:rPr>
        <w:t>5</w:t>
      </w:r>
      <w:r>
        <w:rPr>
          <w:rFonts w:eastAsiaTheme="minorEastAsia"/>
          <w:b/>
          <w:color w:val="auto"/>
          <w:sz w:val="24"/>
          <w:highlight w:val="none"/>
        </w:rPr>
        <w:t>0分）</w:t>
      </w:r>
    </w:p>
    <w:tbl>
      <w:tblPr>
        <w:tblStyle w:val="26"/>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eastAsiaTheme="minorEastAsia"/>
                <w:b/>
                <w:color w:val="auto"/>
                <w:kern w:val="0"/>
                <w:sz w:val="24"/>
                <w:highlight w:val="none"/>
              </w:rPr>
            </w:pPr>
            <w:r>
              <w:rPr>
                <w:rFonts w:eastAsiaTheme="minorEastAsia"/>
                <w:b/>
                <w:color w:val="auto"/>
                <w:kern w:val="0"/>
                <w:sz w:val="24"/>
                <w:highlight w:val="none"/>
              </w:rPr>
              <w:t>序号</w:t>
            </w:r>
          </w:p>
        </w:tc>
        <w:tc>
          <w:tcPr>
            <w:tcW w:w="3260" w:type="dxa"/>
            <w:vAlign w:val="center"/>
          </w:tcPr>
          <w:p>
            <w:pPr>
              <w:spacing w:line="360" w:lineRule="auto"/>
              <w:jc w:val="center"/>
              <w:rPr>
                <w:rFonts w:eastAsiaTheme="minorEastAsia"/>
                <w:b/>
                <w:color w:val="auto"/>
                <w:sz w:val="24"/>
                <w:highlight w:val="none"/>
              </w:rPr>
            </w:pPr>
            <w:r>
              <w:rPr>
                <w:rFonts w:eastAsiaTheme="minorEastAsia"/>
                <w:b/>
                <w:color w:val="auto"/>
                <w:kern w:val="0"/>
                <w:sz w:val="24"/>
                <w:highlight w:val="none"/>
              </w:rPr>
              <w:t>评分因素</w:t>
            </w:r>
          </w:p>
        </w:tc>
        <w:tc>
          <w:tcPr>
            <w:tcW w:w="5358" w:type="dxa"/>
            <w:vAlign w:val="center"/>
          </w:tcPr>
          <w:p>
            <w:pPr>
              <w:spacing w:line="360" w:lineRule="auto"/>
              <w:jc w:val="center"/>
              <w:rPr>
                <w:rFonts w:eastAsiaTheme="minorEastAsia"/>
                <w:b/>
                <w:color w:val="auto"/>
                <w:sz w:val="24"/>
                <w:highlight w:val="none"/>
              </w:rPr>
            </w:pPr>
            <w:r>
              <w:rPr>
                <w:rFonts w:eastAsiaTheme="minorEastAsia"/>
                <w:b/>
                <w:color w:val="auto"/>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eastAsiaTheme="minorEastAsia"/>
                <w:color w:val="auto"/>
                <w:sz w:val="24"/>
                <w:highlight w:val="none"/>
              </w:rPr>
            </w:pPr>
            <w:r>
              <w:rPr>
                <w:rFonts w:eastAsiaTheme="minorEastAsia"/>
                <w:color w:val="auto"/>
                <w:kern w:val="0"/>
                <w:sz w:val="24"/>
                <w:highlight w:val="none"/>
              </w:rPr>
              <w:t>1</w:t>
            </w:r>
          </w:p>
        </w:tc>
        <w:tc>
          <w:tcPr>
            <w:tcW w:w="3260" w:type="dxa"/>
            <w:vAlign w:val="center"/>
          </w:tcPr>
          <w:p>
            <w:pPr>
              <w:jc w:val="center"/>
              <w:rPr>
                <w:rFonts w:eastAsiaTheme="minorEastAsia"/>
                <w:color w:val="auto"/>
                <w:kern w:val="0"/>
                <w:sz w:val="24"/>
                <w:highlight w:val="none"/>
              </w:rPr>
            </w:pPr>
            <w:r>
              <w:rPr>
                <w:rFonts w:eastAsiaTheme="minorEastAsia"/>
                <w:color w:val="auto"/>
                <w:kern w:val="0"/>
                <w:sz w:val="24"/>
                <w:highlight w:val="none"/>
              </w:rPr>
              <w:t>本项目报价评分</w:t>
            </w:r>
          </w:p>
          <w:p>
            <w:pPr>
              <w:jc w:val="center"/>
              <w:rPr>
                <w:rFonts w:eastAsiaTheme="minorEastAsia"/>
                <w:color w:val="auto"/>
                <w:kern w:val="0"/>
                <w:sz w:val="24"/>
                <w:highlight w:val="none"/>
              </w:rPr>
            </w:pPr>
            <w:r>
              <w:rPr>
                <w:rFonts w:eastAsiaTheme="minorEastAsia"/>
                <w:color w:val="auto"/>
                <w:kern w:val="0"/>
                <w:sz w:val="24"/>
                <w:highlight w:val="none"/>
              </w:rPr>
              <w:t>（满分</w:t>
            </w:r>
            <w:r>
              <w:rPr>
                <w:rFonts w:hint="eastAsia" w:eastAsiaTheme="minorEastAsia"/>
                <w:color w:val="auto"/>
                <w:kern w:val="0"/>
                <w:sz w:val="24"/>
                <w:highlight w:val="none"/>
                <w:lang w:val="en-US" w:eastAsia="zh-CN"/>
              </w:rPr>
              <w:t>5</w:t>
            </w:r>
            <w:r>
              <w:rPr>
                <w:rFonts w:eastAsiaTheme="minorEastAsia"/>
                <w:color w:val="auto"/>
                <w:kern w:val="0"/>
                <w:sz w:val="24"/>
                <w:highlight w:val="none"/>
              </w:rPr>
              <w:t>0分）</w:t>
            </w:r>
          </w:p>
        </w:tc>
        <w:tc>
          <w:tcPr>
            <w:tcW w:w="5358" w:type="dxa"/>
            <w:vAlign w:val="center"/>
          </w:tcPr>
          <w:p>
            <w:pPr>
              <w:rPr>
                <w:rFonts w:hint="eastAsia" w:eastAsiaTheme="minorEastAsia"/>
                <w:color w:val="auto"/>
                <w:sz w:val="24"/>
                <w:highlight w:val="none"/>
              </w:rPr>
            </w:pPr>
            <w:r>
              <w:rPr>
                <w:rFonts w:hint="eastAsia" w:eastAsiaTheme="minorEastAsia"/>
                <w:color w:val="auto"/>
                <w:sz w:val="24"/>
                <w:highlight w:val="none"/>
              </w:rPr>
              <w:t>按照差额定率累进方式报出招标代理服务收费的具体标准、浮动比率（超过服务收费标准不得分）及其他优惠措施等。根据招标费用所报下浮标准进行评分。评分规则：分费率区间分别对所有有效服务费用下浮标准去掉最高值和最低值后，计算其他有效服务费用下浮标准的算术平均值为评价基数，按各机构服务费用下浮标准与评价基数的偏差率评价。</w:t>
            </w:r>
          </w:p>
          <w:p>
            <w:pPr>
              <w:rPr>
                <w:rFonts w:eastAsiaTheme="minorEastAsia"/>
                <w:color w:val="auto"/>
                <w:sz w:val="24"/>
                <w:highlight w:val="none"/>
              </w:rPr>
            </w:pPr>
            <w:r>
              <w:rPr>
                <w:rFonts w:hint="eastAsia" w:eastAsiaTheme="minorEastAsia"/>
                <w:color w:val="auto"/>
                <w:sz w:val="24"/>
                <w:highlight w:val="none"/>
              </w:rPr>
              <w:t>价格得分=[1-（|报价方服务费用下浮标准-评价基数|/评价基数）]×</w:t>
            </w:r>
            <w:r>
              <w:rPr>
                <w:rFonts w:hint="eastAsia" w:eastAsiaTheme="minorEastAsia"/>
                <w:color w:val="auto"/>
                <w:sz w:val="24"/>
                <w:highlight w:val="none"/>
                <w:lang w:val="en-US" w:eastAsia="zh-CN"/>
              </w:rPr>
              <w:t>5</w:t>
            </w:r>
            <w:r>
              <w:rPr>
                <w:rFonts w:eastAsiaTheme="minorEastAsia"/>
                <w:color w:val="auto"/>
                <w:sz w:val="24"/>
                <w:highlight w:val="none"/>
              </w:rPr>
              <w:t>0</w:t>
            </w:r>
          </w:p>
        </w:tc>
      </w:tr>
    </w:tbl>
    <w:p>
      <w:pPr>
        <w:spacing w:line="360" w:lineRule="auto"/>
        <w:jc w:val="left"/>
        <w:rPr>
          <w:rFonts w:hint="eastAsia" w:eastAsiaTheme="minorEastAsia"/>
          <w:color w:val="auto"/>
          <w:sz w:val="24"/>
          <w:highlight w:val="none"/>
        </w:rPr>
      </w:pPr>
    </w:p>
    <w:p>
      <w:pPr>
        <w:widowControl/>
        <w:jc w:val="left"/>
        <w:rPr>
          <w:rFonts w:eastAsiaTheme="minorEastAsia"/>
          <w:b/>
          <w:color w:val="auto"/>
          <w:sz w:val="24"/>
          <w:highlight w:val="none"/>
        </w:rPr>
      </w:pPr>
      <w:r>
        <w:rPr>
          <w:rFonts w:hint="eastAsia" w:eastAsiaTheme="minorEastAsia"/>
          <w:b/>
          <w:color w:val="auto"/>
          <w:sz w:val="24"/>
          <w:highlight w:val="none"/>
        </w:rPr>
        <w:t>2</w:t>
      </w:r>
      <w:r>
        <w:rPr>
          <w:rFonts w:eastAsiaTheme="minorEastAsia"/>
          <w:b/>
          <w:color w:val="auto"/>
          <w:sz w:val="24"/>
          <w:highlight w:val="none"/>
        </w:rPr>
        <w:t>.资信部分评分细则（满分</w:t>
      </w:r>
      <w:r>
        <w:rPr>
          <w:rFonts w:hint="eastAsia" w:eastAsiaTheme="minorEastAsia"/>
          <w:b/>
          <w:color w:val="auto"/>
          <w:sz w:val="24"/>
          <w:highlight w:val="none"/>
          <w:lang w:val="en-US" w:eastAsia="zh-CN"/>
        </w:rPr>
        <w:t>2</w:t>
      </w:r>
      <w:r>
        <w:rPr>
          <w:rFonts w:eastAsiaTheme="minorEastAsia"/>
          <w:b/>
          <w:color w:val="auto"/>
          <w:sz w:val="24"/>
          <w:highlight w:val="none"/>
        </w:rPr>
        <w:t>0分）</w:t>
      </w:r>
    </w:p>
    <w:tbl>
      <w:tblPr>
        <w:tblStyle w:val="26"/>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序号</w:t>
            </w:r>
          </w:p>
        </w:tc>
        <w:tc>
          <w:tcPr>
            <w:tcW w:w="1701"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评分因素</w:t>
            </w:r>
          </w:p>
        </w:tc>
        <w:tc>
          <w:tcPr>
            <w:tcW w:w="6775"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9" w:type="dxa"/>
            <w:vAlign w:val="center"/>
          </w:tcPr>
          <w:p>
            <w:pPr>
              <w:jc w:val="center"/>
              <w:rPr>
                <w:rFonts w:eastAsiaTheme="minorEastAsia"/>
                <w:color w:val="auto"/>
                <w:kern w:val="0"/>
                <w:sz w:val="24"/>
                <w:highlight w:val="none"/>
              </w:rPr>
            </w:pPr>
            <w:r>
              <w:rPr>
                <w:rFonts w:eastAsiaTheme="minorEastAsia"/>
                <w:color w:val="auto"/>
                <w:kern w:val="0"/>
                <w:sz w:val="24"/>
                <w:highlight w:val="none"/>
              </w:rPr>
              <w:t>1</w:t>
            </w:r>
          </w:p>
        </w:tc>
        <w:tc>
          <w:tcPr>
            <w:tcW w:w="1701" w:type="dxa"/>
            <w:vAlign w:val="center"/>
          </w:tcPr>
          <w:p>
            <w:pPr>
              <w:jc w:val="center"/>
              <w:rPr>
                <w:rFonts w:eastAsiaTheme="minorEastAsia"/>
                <w:color w:val="auto"/>
                <w:sz w:val="24"/>
                <w:highlight w:val="none"/>
              </w:rPr>
            </w:pPr>
            <w:r>
              <w:rPr>
                <w:rFonts w:eastAsiaTheme="minorEastAsia"/>
                <w:color w:val="auto"/>
                <w:sz w:val="24"/>
                <w:highlight w:val="none"/>
              </w:rPr>
              <w:t>企业类似业绩</w:t>
            </w:r>
          </w:p>
          <w:p>
            <w:pPr>
              <w:jc w:val="center"/>
              <w:rPr>
                <w:rFonts w:eastAsiaTheme="minorEastAsia"/>
                <w:color w:val="auto"/>
                <w:kern w:val="0"/>
                <w:sz w:val="24"/>
                <w:highlight w:val="none"/>
              </w:rPr>
            </w:pPr>
            <w:r>
              <w:rPr>
                <w:rFonts w:eastAsiaTheme="minorEastAsia"/>
                <w:color w:val="auto"/>
                <w:kern w:val="0"/>
                <w:sz w:val="24"/>
                <w:highlight w:val="none"/>
              </w:rPr>
              <w:t>（满分</w:t>
            </w:r>
            <w:r>
              <w:rPr>
                <w:rFonts w:hint="eastAsia" w:eastAsiaTheme="minorEastAsia"/>
                <w:color w:val="auto"/>
                <w:kern w:val="0"/>
                <w:sz w:val="24"/>
                <w:highlight w:val="none"/>
                <w:lang w:val="en-US" w:eastAsia="zh-CN"/>
              </w:rPr>
              <w:t>2</w:t>
            </w:r>
            <w:r>
              <w:rPr>
                <w:rFonts w:eastAsiaTheme="minorEastAsia"/>
                <w:color w:val="auto"/>
                <w:kern w:val="0"/>
                <w:sz w:val="24"/>
                <w:highlight w:val="none"/>
              </w:rPr>
              <w:t>0分）</w:t>
            </w:r>
          </w:p>
        </w:tc>
        <w:tc>
          <w:tcPr>
            <w:tcW w:w="6775" w:type="dxa"/>
            <w:vAlign w:val="center"/>
          </w:tcPr>
          <w:p>
            <w:pPr>
              <w:rPr>
                <w:rFonts w:eastAsiaTheme="minorEastAsia"/>
                <w:color w:val="auto"/>
                <w:sz w:val="24"/>
                <w:highlight w:val="none"/>
              </w:rPr>
            </w:pPr>
            <w:r>
              <w:rPr>
                <w:rFonts w:eastAsiaTheme="minorEastAsia"/>
                <w:color w:val="auto"/>
                <w:sz w:val="24"/>
                <w:highlight w:val="none"/>
              </w:rPr>
              <w:t>参选人近三年（自</w:t>
            </w:r>
            <w:r>
              <w:rPr>
                <w:rFonts w:hint="eastAsia" w:eastAsiaTheme="minorEastAsia"/>
                <w:color w:val="auto"/>
                <w:sz w:val="24"/>
                <w:highlight w:val="none"/>
              </w:rPr>
              <w:t>201</w:t>
            </w:r>
            <w:r>
              <w:rPr>
                <w:rFonts w:hint="eastAsia" w:eastAsiaTheme="minorEastAsia"/>
                <w:color w:val="auto"/>
                <w:sz w:val="24"/>
                <w:highlight w:val="none"/>
                <w:lang w:val="en-US" w:eastAsia="zh-CN"/>
              </w:rPr>
              <w:t>7</w:t>
            </w:r>
            <w:r>
              <w:rPr>
                <w:rFonts w:hint="eastAsia" w:eastAsiaTheme="minorEastAsia"/>
                <w:color w:val="auto"/>
                <w:sz w:val="24"/>
                <w:highlight w:val="none"/>
              </w:rPr>
              <w:t>年1月1日</w:t>
            </w:r>
            <w:r>
              <w:rPr>
                <w:rFonts w:eastAsiaTheme="minorEastAsia"/>
                <w:color w:val="auto"/>
                <w:sz w:val="24"/>
                <w:highlight w:val="none"/>
              </w:rPr>
              <w:t>至公告发布之日）每承担过一个类似项目业绩得</w:t>
            </w:r>
            <w:r>
              <w:rPr>
                <w:rFonts w:hint="eastAsia" w:eastAsiaTheme="minorEastAsia"/>
                <w:color w:val="auto"/>
                <w:sz w:val="24"/>
                <w:highlight w:val="none"/>
              </w:rPr>
              <w:t>5</w:t>
            </w:r>
            <w:r>
              <w:rPr>
                <w:rFonts w:eastAsiaTheme="minorEastAsia"/>
                <w:color w:val="auto"/>
                <w:sz w:val="24"/>
                <w:highlight w:val="none"/>
              </w:rPr>
              <w:t>分，满分</w:t>
            </w:r>
            <w:r>
              <w:rPr>
                <w:rFonts w:hint="eastAsia" w:eastAsiaTheme="minorEastAsia"/>
                <w:color w:val="auto"/>
                <w:sz w:val="24"/>
                <w:highlight w:val="none"/>
                <w:lang w:val="en-US" w:eastAsia="zh-CN"/>
              </w:rPr>
              <w:t>20</w:t>
            </w:r>
            <w:r>
              <w:rPr>
                <w:rFonts w:eastAsiaTheme="minorEastAsia"/>
                <w:color w:val="auto"/>
                <w:sz w:val="24"/>
                <w:highlight w:val="none"/>
              </w:rPr>
              <w:t>分。</w:t>
            </w:r>
          </w:p>
        </w:tc>
      </w:tr>
    </w:tbl>
    <w:p>
      <w:pPr>
        <w:spacing w:line="360" w:lineRule="auto"/>
        <w:ind w:right="754" w:firstLine="480" w:firstLineChars="200"/>
        <w:jc w:val="left"/>
        <w:rPr>
          <w:rFonts w:eastAsiaTheme="minorEastAsia"/>
          <w:color w:val="auto"/>
          <w:sz w:val="24"/>
          <w:highlight w:val="none"/>
        </w:rPr>
      </w:pPr>
      <w:r>
        <w:rPr>
          <w:rFonts w:hint="eastAsia" w:eastAsiaTheme="minorEastAsia"/>
          <w:color w:val="auto"/>
          <w:sz w:val="24"/>
          <w:highlight w:val="none"/>
        </w:rPr>
        <w:t>注：类似项目定义详见比选公告附表，业绩应为已经完成的。</w:t>
      </w:r>
    </w:p>
    <w:p>
      <w:pPr>
        <w:spacing w:line="360" w:lineRule="auto"/>
        <w:ind w:right="754" w:firstLine="480" w:firstLineChars="200"/>
        <w:jc w:val="left"/>
        <w:rPr>
          <w:rFonts w:eastAsiaTheme="minorEastAsia"/>
          <w:color w:val="auto"/>
          <w:sz w:val="24"/>
          <w:highlight w:val="none"/>
        </w:rPr>
      </w:pPr>
    </w:p>
    <w:p>
      <w:pPr>
        <w:widowControl/>
        <w:jc w:val="left"/>
        <w:rPr>
          <w:rFonts w:eastAsiaTheme="minorEastAsia"/>
          <w:b/>
          <w:color w:val="auto"/>
          <w:sz w:val="24"/>
          <w:highlight w:val="none"/>
        </w:rPr>
      </w:pPr>
      <w:r>
        <w:rPr>
          <w:rFonts w:hint="eastAsia" w:eastAsiaTheme="minorEastAsia"/>
          <w:b/>
          <w:color w:val="auto"/>
          <w:sz w:val="24"/>
          <w:highlight w:val="none"/>
        </w:rPr>
        <w:t>3</w:t>
      </w:r>
      <w:r>
        <w:rPr>
          <w:rFonts w:eastAsiaTheme="minorEastAsia"/>
          <w:b/>
          <w:color w:val="auto"/>
          <w:sz w:val="24"/>
          <w:highlight w:val="none"/>
        </w:rPr>
        <w:t>.技术部分评分细则（满分30分）</w:t>
      </w:r>
    </w:p>
    <w:tbl>
      <w:tblPr>
        <w:tblStyle w:val="26"/>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序号</w:t>
            </w:r>
          </w:p>
        </w:tc>
        <w:tc>
          <w:tcPr>
            <w:tcW w:w="1701"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评分因素</w:t>
            </w:r>
          </w:p>
        </w:tc>
        <w:tc>
          <w:tcPr>
            <w:tcW w:w="6775"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9" w:type="dxa"/>
            <w:vAlign w:val="center"/>
          </w:tcPr>
          <w:p>
            <w:pPr>
              <w:jc w:val="center"/>
              <w:rPr>
                <w:rFonts w:eastAsiaTheme="minorEastAsia"/>
                <w:color w:val="auto"/>
                <w:kern w:val="0"/>
                <w:sz w:val="24"/>
                <w:highlight w:val="none"/>
              </w:rPr>
            </w:pPr>
            <w:r>
              <w:rPr>
                <w:rFonts w:eastAsiaTheme="minorEastAsia"/>
                <w:color w:val="auto"/>
                <w:kern w:val="0"/>
                <w:sz w:val="24"/>
                <w:highlight w:val="none"/>
              </w:rPr>
              <w:t>1</w:t>
            </w:r>
          </w:p>
        </w:tc>
        <w:tc>
          <w:tcPr>
            <w:tcW w:w="1701" w:type="dxa"/>
            <w:vAlign w:val="center"/>
          </w:tcPr>
          <w:p>
            <w:pPr>
              <w:jc w:val="center"/>
              <w:rPr>
                <w:rFonts w:eastAsiaTheme="minorEastAsia"/>
                <w:color w:val="auto"/>
                <w:sz w:val="24"/>
                <w:highlight w:val="none"/>
              </w:rPr>
            </w:pPr>
            <w:r>
              <w:rPr>
                <w:rFonts w:eastAsiaTheme="minorEastAsia"/>
                <w:color w:val="auto"/>
                <w:sz w:val="24"/>
                <w:highlight w:val="none"/>
              </w:rPr>
              <w:t>服务</w:t>
            </w:r>
            <w:r>
              <w:rPr>
                <w:rFonts w:hint="eastAsia" w:eastAsiaTheme="minorEastAsia"/>
                <w:color w:val="auto"/>
                <w:sz w:val="24"/>
                <w:highlight w:val="none"/>
              </w:rPr>
              <w:t>方案</w:t>
            </w:r>
          </w:p>
          <w:p>
            <w:pPr>
              <w:jc w:val="center"/>
              <w:rPr>
                <w:rFonts w:eastAsiaTheme="minorEastAsia"/>
                <w:color w:val="auto"/>
                <w:kern w:val="0"/>
                <w:sz w:val="24"/>
                <w:highlight w:val="none"/>
              </w:rPr>
            </w:pPr>
            <w:r>
              <w:rPr>
                <w:rFonts w:eastAsiaTheme="minorEastAsia"/>
                <w:color w:val="auto"/>
                <w:kern w:val="0"/>
                <w:sz w:val="24"/>
                <w:highlight w:val="none"/>
              </w:rPr>
              <w:t>（满分</w:t>
            </w:r>
            <w:r>
              <w:rPr>
                <w:rFonts w:hint="eastAsia" w:eastAsiaTheme="minorEastAsia"/>
                <w:color w:val="auto"/>
                <w:kern w:val="0"/>
                <w:sz w:val="24"/>
                <w:highlight w:val="none"/>
              </w:rPr>
              <w:t>3</w:t>
            </w:r>
            <w:r>
              <w:rPr>
                <w:rFonts w:eastAsiaTheme="minorEastAsia"/>
                <w:color w:val="auto"/>
                <w:kern w:val="0"/>
                <w:sz w:val="24"/>
                <w:highlight w:val="none"/>
              </w:rPr>
              <w:t>0分）</w:t>
            </w:r>
          </w:p>
        </w:tc>
        <w:tc>
          <w:tcPr>
            <w:tcW w:w="6775" w:type="dxa"/>
            <w:vAlign w:val="center"/>
          </w:tcPr>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（1）投标人针对本项目组织计划。由评标委员会成员集体讨论确定“一档，二档，三档” 各所属档次并形成书面材料，按确定后各投标人服务方案的档次，由评标委员会成员在相应档次内独立打分。本项满分</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w:t>
            </w:r>
          </w:p>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一档（</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分）：投标人对本项目组织计划的针对性、合理性、完整性一般。</w:t>
            </w:r>
          </w:p>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二档（</w:t>
            </w:r>
            <w:r>
              <w:rPr>
                <w:rFonts w:hint="eastAsia" w:ascii="宋体" w:hAnsi="宋体" w:eastAsia="宋体" w:cs="宋体"/>
                <w:b w:val="0"/>
                <w:bCs/>
                <w:spacing w:val="0"/>
                <w:szCs w:val="20"/>
                <w:highlight w:val="none"/>
                <w:lang w:val="en-US" w:eastAsia="zh-CN"/>
              </w:rPr>
              <w:t>6</w:t>
            </w:r>
            <w:r>
              <w:rPr>
                <w:rFonts w:hint="eastAsia" w:ascii="宋体" w:hAnsi="宋体" w:eastAsia="宋体" w:cs="宋体"/>
                <w:b w:val="0"/>
                <w:bCs/>
                <w:spacing w:val="0"/>
                <w:szCs w:val="20"/>
                <w:highlight w:val="none"/>
              </w:rPr>
              <w:t>分）：投标人对本项目组织计划的针对性、合理性、完整性良好。</w:t>
            </w:r>
          </w:p>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三档（</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分）：投标人对本项目组织计划的针对性、合理性、完整性优秀。</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w:t>
            </w:r>
            <w:r>
              <w:rPr>
                <w:rFonts w:hint="eastAsia" w:ascii="宋体" w:hAnsi="宋体" w:eastAsia="宋体" w:cs="宋体"/>
                <w:b w:val="0"/>
                <w:bCs/>
                <w:spacing w:val="0"/>
                <w:szCs w:val="20"/>
                <w:highlight w:val="none"/>
                <w:lang w:val="en-US" w:eastAsia="zh-CN"/>
              </w:rPr>
              <w:t>2</w:t>
            </w:r>
            <w:r>
              <w:rPr>
                <w:rFonts w:hint="eastAsia" w:ascii="宋体" w:hAnsi="宋体" w:eastAsia="宋体" w:cs="宋体"/>
                <w:b w:val="0"/>
                <w:bCs/>
                <w:spacing w:val="0"/>
                <w:szCs w:val="20"/>
                <w:highlight w:val="none"/>
              </w:rPr>
              <w:t>）投标人针对本项目内部编制程序、建立三级编制制度和制订内部防范和控制风险制度。由评标委员会成员集体讨论确定“一档，二档，三档”各所属档次并形成书面材料，按确定后各投标人服务方案的档次，由评标委员会成员在相应档次内独立打分。本项满分</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一档（</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分）：投标人内部相关的内部编制程序、编制制度、内部防范和控制风险制度明确，基本满足该项目需求。</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二档（</w:t>
            </w:r>
            <w:r>
              <w:rPr>
                <w:rFonts w:hint="eastAsia" w:ascii="宋体" w:hAnsi="宋体" w:eastAsia="宋体" w:cs="宋体"/>
                <w:b w:val="0"/>
                <w:bCs/>
                <w:spacing w:val="0"/>
                <w:szCs w:val="20"/>
                <w:highlight w:val="none"/>
                <w:lang w:val="en-US" w:eastAsia="zh-CN"/>
              </w:rPr>
              <w:t>6</w:t>
            </w:r>
            <w:r>
              <w:rPr>
                <w:rFonts w:hint="eastAsia" w:ascii="宋体" w:hAnsi="宋体" w:eastAsia="宋体" w:cs="宋体"/>
                <w:b w:val="0"/>
                <w:bCs/>
                <w:spacing w:val="0"/>
                <w:szCs w:val="20"/>
                <w:highlight w:val="none"/>
              </w:rPr>
              <w:t>分）：投标人内部相关的内部编制程序、编制制度、内部防范和控制风险制度明确、齐全，能较好地满足该项目需求。</w:t>
            </w:r>
          </w:p>
          <w:p>
            <w:pPr>
              <w:pStyle w:val="9"/>
              <w:ind w:firstLine="420" w:firstLineChars="20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三档（</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分）：投标人内部相关的内部编制程序、编制制度、内部防范和控制风险制度明确、齐全并细致，完全满足该项目需求。</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）投标人针对本项目内部</w:t>
            </w:r>
            <w:r>
              <w:rPr>
                <w:rFonts w:hint="eastAsia"/>
                <w:highlight w:val="none"/>
              </w:rPr>
              <w:t>保密制度和措施、突发困难应对方案</w:t>
            </w:r>
            <w:r>
              <w:rPr>
                <w:rFonts w:hint="eastAsia" w:ascii="宋体" w:hAnsi="宋体" w:eastAsia="宋体" w:cs="宋体"/>
                <w:b w:val="0"/>
                <w:bCs/>
                <w:spacing w:val="0"/>
                <w:szCs w:val="20"/>
                <w:highlight w:val="none"/>
              </w:rPr>
              <w:t>。由评标委员会成员集体讨论确定“一档，二档，三档”各所属档次并形成书面材料，按确定后各投标人服务方案的档次，由评标委员会成员在相应档次内独立打分。本项满分1</w:t>
            </w:r>
            <w:r>
              <w:rPr>
                <w:rFonts w:hint="eastAsia" w:ascii="宋体" w:hAnsi="宋体" w:eastAsia="宋体" w:cs="宋体"/>
                <w:b w:val="0"/>
                <w:bCs/>
                <w:spacing w:val="0"/>
                <w:szCs w:val="20"/>
                <w:highlight w:val="none"/>
                <w:lang w:val="en-US" w:eastAsia="zh-CN"/>
              </w:rPr>
              <w:t>0</w:t>
            </w:r>
            <w:r>
              <w:rPr>
                <w:rFonts w:hint="eastAsia" w:ascii="宋体" w:hAnsi="宋体" w:eastAsia="宋体" w:cs="宋体"/>
                <w:b w:val="0"/>
                <w:bCs/>
                <w:spacing w:val="0"/>
                <w:szCs w:val="20"/>
                <w:highlight w:val="none"/>
              </w:rPr>
              <w:t>分。</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一档（</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分）：投标人内部相关的内部</w:t>
            </w:r>
            <w:r>
              <w:rPr>
                <w:rFonts w:hint="eastAsia"/>
                <w:highlight w:val="none"/>
              </w:rPr>
              <w:t>保密制度和措施、突发困难应对方案</w:t>
            </w:r>
            <w:r>
              <w:rPr>
                <w:rFonts w:hint="eastAsia" w:ascii="宋体" w:hAnsi="宋体" w:eastAsia="宋体" w:cs="宋体"/>
                <w:b w:val="0"/>
                <w:bCs/>
                <w:spacing w:val="0"/>
                <w:szCs w:val="20"/>
                <w:highlight w:val="none"/>
              </w:rPr>
              <w:t>明确，基本满足该项目需求。</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二档（</w:t>
            </w:r>
            <w:r>
              <w:rPr>
                <w:rFonts w:hint="eastAsia" w:ascii="宋体" w:hAnsi="宋体" w:eastAsia="宋体" w:cs="宋体"/>
                <w:b w:val="0"/>
                <w:bCs/>
                <w:spacing w:val="0"/>
                <w:szCs w:val="20"/>
                <w:highlight w:val="none"/>
                <w:lang w:val="en-US" w:eastAsia="zh-CN"/>
              </w:rPr>
              <w:t>6</w:t>
            </w:r>
            <w:r>
              <w:rPr>
                <w:rFonts w:hint="eastAsia" w:ascii="宋体" w:hAnsi="宋体" w:eastAsia="宋体" w:cs="宋体"/>
                <w:b w:val="0"/>
                <w:bCs/>
                <w:spacing w:val="0"/>
                <w:szCs w:val="20"/>
                <w:highlight w:val="none"/>
              </w:rPr>
              <w:t>分）：投标人内部相关的内部</w:t>
            </w:r>
            <w:r>
              <w:rPr>
                <w:rFonts w:hint="eastAsia"/>
                <w:highlight w:val="none"/>
              </w:rPr>
              <w:t>保密制度和措施、突发困难应对方案</w:t>
            </w:r>
            <w:r>
              <w:rPr>
                <w:rFonts w:hint="eastAsia" w:ascii="宋体" w:hAnsi="宋体" w:eastAsia="宋体" w:cs="宋体"/>
                <w:b w:val="0"/>
                <w:bCs/>
                <w:spacing w:val="0"/>
                <w:szCs w:val="20"/>
                <w:highlight w:val="none"/>
              </w:rPr>
              <w:t>明确、齐全，能较好地满足该项目需求。</w:t>
            </w:r>
          </w:p>
          <w:p>
            <w:pPr>
              <w:pStyle w:val="9"/>
              <w:ind w:firstLine="420" w:firstLineChars="20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三档（</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分）：投标人内部相关的内部</w:t>
            </w:r>
            <w:r>
              <w:rPr>
                <w:rFonts w:hint="eastAsia"/>
                <w:highlight w:val="none"/>
              </w:rPr>
              <w:t>保密制度和措施、突发困难应对方案</w:t>
            </w:r>
            <w:r>
              <w:rPr>
                <w:rFonts w:hint="eastAsia" w:ascii="宋体" w:hAnsi="宋体" w:eastAsia="宋体" w:cs="宋体"/>
                <w:b w:val="0"/>
                <w:bCs/>
                <w:spacing w:val="0"/>
                <w:szCs w:val="20"/>
                <w:highlight w:val="none"/>
              </w:rPr>
              <w:t>明确、齐全并细致，完全满足该项目需求。</w:t>
            </w:r>
          </w:p>
        </w:tc>
      </w:tr>
    </w:tbl>
    <w:p>
      <w:pPr>
        <w:spacing w:line="360" w:lineRule="auto"/>
        <w:ind w:right="754"/>
        <w:jc w:val="left"/>
        <w:rPr>
          <w:rFonts w:eastAsiaTheme="minorEastAsia"/>
          <w:color w:val="auto"/>
          <w:sz w:val="28"/>
          <w:szCs w:val="28"/>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3"/>
        <w:numPr>
          <w:ilvl w:val="0"/>
          <w:numId w:val="2"/>
        </w:numPr>
        <w:spacing w:before="0" w:after="0" w:line="360" w:lineRule="auto"/>
        <w:rPr>
          <w:rFonts w:eastAsiaTheme="minorEastAsia"/>
          <w:color w:val="auto"/>
          <w:highlight w:val="none"/>
        </w:rPr>
      </w:pPr>
      <w:r>
        <w:rPr>
          <w:rFonts w:hint="eastAsia" w:eastAsiaTheme="minorEastAsia"/>
          <w:color w:val="auto"/>
          <w:highlight w:val="none"/>
        </w:rPr>
        <w:t xml:space="preserve"> </w:t>
      </w:r>
      <w:bookmarkStart w:id="323" w:name="_Toc23969"/>
      <w:bookmarkStart w:id="324" w:name="_Toc5521"/>
      <w:r>
        <w:rPr>
          <w:rFonts w:hint="eastAsia" w:eastAsiaTheme="minorEastAsia"/>
          <w:color w:val="auto"/>
          <w:highlight w:val="none"/>
        </w:rPr>
        <w:t>附件</w:t>
      </w:r>
      <w:bookmarkEnd w:id="323"/>
      <w:bookmarkEnd w:id="324"/>
    </w:p>
    <w:tbl>
      <w:tblPr>
        <w:tblStyle w:val="2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8"/>
        <w:gridCol w:w="75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序号</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比选</w:t>
            </w:r>
            <w:r>
              <w:rPr>
                <w:rFonts w:hint="eastAsia" w:ascii="宋体" w:hAnsi="宋体" w:cs="宋体"/>
                <w:color w:val="auto"/>
                <w:sz w:val="24"/>
                <w:highlight w:val="none"/>
                <w:shd w:val="clear" w:color="auto" w:fill="FFFFFF"/>
              </w:rPr>
              <w:t>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１</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中化商务有限公司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２</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上海机电设备招标有限公司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３</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中技国际招标有限公司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４</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北京中昌工程咨询有限公司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５</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上海正弘建设工程顾问有限公司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６</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中机国际招标有限公司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７</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建银工程咨询有限责任公司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８</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中招国际招标有限公司</w:t>
            </w:r>
          </w:p>
        </w:tc>
      </w:tr>
    </w:tbl>
    <w:p>
      <w:pPr>
        <w:rPr>
          <w:color w:val="auto"/>
          <w:highlight w:val="none"/>
        </w:rPr>
      </w:pPr>
    </w:p>
    <w:sectPr>
      <w:headerReference r:id="rId5" w:type="default"/>
      <w:footerReference r:id="rId6" w:type="default"/>
      <w:pgSz w:w="11906" w:h="16838"/>
      <w:pgMar w:top="1418" w:right="1418" w:bottom="1134" w:left="141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0"/>
      </w:rPr>
      <w:pict>
        <v:shape id="文本框5" o:spid="_x0000_s3073" o:spt="202" type="#_x0000_t202" style="position:absolute;left:0pt;margin-top:0pt;height:16.65pt;width:31.6pt;mso-position-horizontal:center;mso-position-horizontal-relative:margin;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WCKwtwEAAFMDAAAOAAAAAAAAAAEAIAAAAB4BAABkcnMvZTJvRG9jLnhtbFBLBQYAAAAABgAGAFkB&#10;AABHBQAAAAA=&#10;">
          <v:path/>
          <v:fill on="f" focussize="0,0"/>
          <v:stroke on="f" joinstyle="miter"/>
          <v:imagedata o:title=""/>
          <o:lock v:ext="edit"/>
          <v:textbox inset="0mm,0mm,0mm,0mm">
            <w:txbxContent>
              <w:p>
                <w:pPr>
                  <w:snapToGrid w:val="0"/>
                  <w:rPr>
                    <w:sz w:val="18"/>
                  </w:rPr>
                </w:pPr>
                <w:r>
                  <w:rPr>
                    <w:rFonts w:hint="eastAsia"/>
                    <w:sz w:val="18"/>
                  </w:rPr>
                  <w:t>第</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w:t>
                </w:r>
                <w:r>
                  <w:rPr>
                    <w:rFonts w:hint="eastAsia"/>
                    <w:sz w:val="18"/>
                    <w:szCs w:val="18"/>
                  </w:rPr>
                  <w:fldChar w:fldCharType="end"/>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2CC3E"/>
    <w:multiLevelType w:val="singleLevel"/>
    <w:tmpl w:val="1782CC3E"/>
    <w:lvl w:ilvl="0" w:tentative="0">
      <w:start w:val="6"/>
      <w:numFmt w:val="chineseCounting"/>
      <w:suff w:val="space"/>
      <w:lvlText w:val="第%1章"/>
      <w:lvlJc w:val="left"/>
      <w:rPr>
        <w:rFonts w:hint="eastAsia"/>
      </w:rPr>
    </w:lvl>
  </w:abstractNum>
  <w:abstractNum w:abstractNumId="1">
    <w:nsid w:val="537D90D0"/>
    <w:multiLevelType w:val="singleLevel"/>
    <w:tmpl w:val="537D90D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B51"/>
    <w:rsid w:val="00003978"/>
    <w:rsid w:val="00004008"/>
    <w:rsid w:val="00004A25"/>
    <w:rsid w:val="00006245"/>
    <w:rsid w:val="00006E49"/>
    <w:rsid w:val="00007092"/>
    <w:rsid w:val="00007885"/>
    <w:rsid w:val="00010DF1"/>
    <w:rsid w:val="00011A3B"/>
    <w:rsid w:val="00011A63"/>
    <w:rsid w:val="000121F0"/>
    <w:rsid w:val="00013074"/>
    <w:rsid w:val="00013699"/>
    <w:rsid w:val="00013C92"/>
    <w:rsid w:val="000152A8"/>
    <w:rsid w:val="000158C4"/>
    <w:rsid w:val="00015B66"/>
    <w:rsid w:val="00015BF7"/>
    <w:rsid w:val="00016D41"/>
    <w:rsid w:val="00016E1C"/>
    <w:rsid w:val="0002218A"/>
    <w:rsid w:val="0002500A"/>
    <w:rsid w:val="00025256"/>
    <w:rsid w:val="00026174"/>
    <w:rsid w:val="0002675F"/>
    <w:rsid w:val="00026FFC"/>
    <w:rsid w:val="000276A2"/>
    <w:rsid w:val="000318D8"/>
    <w:rsid w:val="000415AB"/>
    <w:rsid w:val="00042228"/>
    <w:rsid w:val="00047299"/>
    <w:rsid w:val="000473D4"/>
    <w:rsid w:val="00050E7F"/>
    <w:rsid w:val="00052B63"/>
    <w:rsid w:val="00054F81"/>
    <w:rsid w:val="0005651D"/>
    <w:rsid w:val="00057BDC"/>
    <w:rsid w:val="00062107"/>
    <w:rsid w:val="0006275A"/>
    <w:rsid w:val="00063E9E"/>
    <w:rsid w:val="0007095D"/>
    <w:rsid w:val="000717BB"/>
    <w:rsid w:val="000721B2"/>
    <w:rsid w:val="00072A19"/>
    <w:rsid w:val="00073F12"/>
    <w:rsid w:val="0007429E"/>
    <w:rsid w:val="000743BC"/>
    <w:rsid w:val="00075B44"/>
    <w:rsid w:val="0007683C"/>
    <w:rsid w:val="00076DF2"/>
    <w:rsid w:val="000804F1"/>
    <w:rsid w:val="00082D8B"/>
    <w:rsid w:val="00083897"/>
    <w:rsid w:val="000843B4"/>
    <w:rsid w:val="00094668"/>
    <w:rsid w:val="000971C8"/>
    <w:rsid w:val="000A1E43"/>
    <w:rsid w:val="000A4B9C"/>
    <w:rsid w:val="000A6250"/>
    <w:rsid w:val="000B0BA3"/>
    <w:rsid w:val="000B1107"/>
    <w:rsid w:val="000B2862"/>
    <w:rsid w:val="000B3F18"/>
    <w:rsid w:val="000B49FE"/>
    <w:rsid w:val="000B6659"/>
    <w:rsid w:val="000C1740"/>
    <w:rsid w:val="000C3C80"/>
    <w:rsid w:val="000C488A"/>
    <w:rsid w:val="000C4E33"/>
    <w:rsid w:val="000C6946"/>
    <w:rsid w:val="000C69DD"/>
    <w:rsid w:val="000C7E33"/>
    <w:rsid w:val="000C7F8A"/>
    <w:rsid w:val="000D0354"/>
    <w:rsid w:val="000D1D89"/>
    <w:rsid w:val="000D6678"/>
    <w:rsid w:val="000D67D8"/>
    <w:rsid w:val="000D7E70"/>
    <w:rsid w:val="000D7E91"/>
    <w:rsid w:val="000E0C3F"/>
    <w:rsid w:val="000E12B4"/>
    <w:rsid w:val="000E3735"/>
    <w:rsid w:val="000E3A4D"/>
    <w:rsid w:val="000E3EF7"/>
    <w:rsid w:val="000E5816"/>
    <w:rsid w:val="000E59C4"/>
    <w:rsid w:val="000E6869"/>
    <w:rsid w:val="000E688B"/>
    <w:rsid w:val="000E7B6F"/>
    <w:rsid w:val="000E7C77"/>
    <w:rsid w:val="000F032E"/>
    <w:rsid w:val="000F0956"/>
    <w:rsid w:val="000F1C10"/>
    <w:rsid w:val="000F2D03"/>
    <w:rsid w:val="000F36DC"/>
    <w:rsid w:val="000F453A"/>
    <w:rsid w:val="00100558"/>
    <w:rsid w:val="00100DB4"/>
    <w:rsid w:val="001014A5"/>
    <w:rsid w:val="0010328C"/>
    <w:rsid w:val="00104172"/>
    <w:rsid w:val="00104382"/>
    <w:rsid w:val="0010531A"/>
    <w:rsid w:val="001057A0"/>
    <w:rsid w:val="00106513"/>
    <w:rsid w:val="00107C43"/>
    <w:rsid w:val="00111B38"/>
    <w:rsid w:val="00111C5D"/>
    <w:rsid w:val="00111EE3"/>
    <w:rsid w:val="0011368C"/>
    <w:rsid w:val="00113D1D"/>
    <w:rsid w:val="00113EDF"/>
    <w:rsid w:val="001144D2"/>
    <w:rsid w:val="001166A3"/>
    <w:rsid w:val="001202B5"/>
    <w:rsid w:val="001214C3"/>
    <w:rsid w:val="0012392F"/>
    <w:rsid w:val="00124180"/>
    <w:rsid w:val="00124D07"/>
    <w:rsid w:val="001255FC"/>
    <w:rsid w:val="00126543"/>
    <w:rsid w:val="00126ECC"/>
    <w:rsid w:val="00127D4A"/>
    <w:rsid w:val="001330C5"/>
    <w:rsid w:val="0013717F"/>
    <w:rsid w:val="0014338D"/>
    <w:rsid w:val="0014456C"/>
    <w:rsid w:val="001449DE"/>
    <w:rsid w:val="00150488"/>
    <w:rsid w:val="00151838"/>
    <w:rsid w:val="001519AC"/>
    <w:rsid w:val="00153375"/>
    <w:rsid w:val="00153BCB"/>
    <w:rsid w:val="00154126"/>
    <w:rsid w:val="00155A9D"/>
    <w:rsid w:val="00163C35"/>
    <w:rsid w:val="00163E35"/>
    <w:rsid w:val="001662B3"/>
    <w:rsid w:val="001662F2"/>
    <w:rsid w:val="001663DA"/>
    <w:rsid w:val="001666ED"/>
    <w:rsid w:val="00166F9F"/>
    <w:rsid w:val="0016797E"/>
    <w:rsid w:val="00167E02"/>
    <w:rsid w:val="00170EBD"/>
    <w:rsid w:val="001713FC"/>
    <w:rsid w:val="00172A27"/>
    <w:rsid w:val="0017519C"/>
    <w:rsid w:val="00176048"/>
    <w:rsid w:val="00176909"/>
    <w:rsid w:val="00177BAE"/>
    <w:rsid w:val="00182DC8"/>
    <w:rsid w:val="0018713A"/>
    <w:rsid w:val="00191030"/>
    <w:rsid w:val="00192C72"/>
    <w:rsid w:val="001958FA"/>
    <w:rsid w:val="00196765"/>
    <w:rsid w:val="001975ED"/>
    <w:rsid w:val="001A01E7"/>
    <w:rsid w:val="001A3369"/>
    <w:rsid w:val="001A44EF"/>
    <w:rsid w:val="001A7092"/>
    <w:rsid w:val="001A7D81"/>
    <w:rsid w:val="001A7FCC"/>
    <w:rsid w:val="001B00CC"/>
    <w:rsid w:val="001B0A86"/>
    <w:rsid w:val="001B1E35"/>
    <w:rsid w:val="001B1E3E"/>
    <w:rsid w:val="001B331C"/>
    <w:rsid w:val="001B34D4"/>
    <w:rsid w:val="001B398B"/>
    <w:rsid w:val="001B56B7"/>
    <w:rsid w:val="001B7E76"/>
    <w:rsid w:val="001C473E"/>
    <w:rsid w:val="001C499E"/>
    <w:rsid w:val="001C4EF7"/>
    <w:rsid w:val="001C6E95"/>
    <w:rsid w:val="001D1387"/>
    <w:rsid w:val="001D1AEB"/>
    <w:rsid w:val="001D29C6"/>
    <w:rsid w:val="001D3F0A"/>
    <w:rsid w:val="001D54D7"/>
    <w:rsid w:val="001D7F3C"/>
    <w:rsid w:val="001E0165"/>
    <w:rsid w:val="001E086F"/>
    <w:rsid w:val="001E1904"/>
    <w:rsid w:val="001E3135"/>
    <w:rsid w:val="001E3877"/>
    <w:rsid w:val="001E56AB"/>
    <w:rsid w:val="001E6897"/>
    <w:rsid w:val="001E6C48"/>
    <w:rsid w:val="001E6FA6"/>
    <w:rsid w:val="001F35F6"/>
    <w:rsid w:val="001F3870"/>
    <w:rsid w:val="001F4BDB"/>
    <w:rsid w:val="001F5E56"/>
    <w:rsid w:val="001F701C"/>
    <w:rsid w:val="001F754B"/>
    <w:rsid w:val="0020071F"/>
    <w:rsid w:val="00200760"/>
    <w:rsid w:val="00200936"/>
    <w:rsid w:val="002017E5"/>
    <w:rsid w:val="002022FA"/>
    <w:rsid w:val="00203400"/>
    <w:rsid w:val="00203566"/>
    <w:rsid w:val="00204FCF"/>
    <w:rsid w:val="00205A6E"/>
    <w:rsid w:val="002065D6"/>
    <w:rsid w:val="002115C2"/>
    <w:rsid w:val="002134A1"/>
    <w:rsid w:val="0021374F"/>
    <w:rsid w:val="00214983"/>
    <w:rsid w:val="00214BB2"/>
    <w:rsid w:val="00217C6B"/>
    <w:rsid w:val="00217DD1"/>
    <w:rsid w:val="00220C52"/>
    <w:rsid w:val="002230F2"/>
    <w:rsid w:val="00225ADC"/>
    <w:rsid w:val="00225B9E"/>
    <w:rsid w:val="002267BB"/>
    <w:rsid w:val="00227BD1"/>
    <w:rsid w:val="0023123F"/>
    <w:rsid w:val="00235E4C"/>
    <w:rsid w:val="00236A8A"/>
    <w:rsid w:val="0023731D"/>
    <w:rsid w:val="00241BF1"/>
    <w:rsid w:val="002422EC"/>
    <w:rsid w:val="00242EA9"/>
    <w:rsid w:val="002459DE"/>
    <w:rsid w:val="00246DE3"/>
    <w:rsid w:val="002470C0"/>
    <w:rsid w:val="002472A7"/>
    <w:rsid w:val="00247729"/>
    <w:rsid w:val="00250E4E"/>
    <w:rsid w:val="00251A78"/>
    <w:rsid w:val="002528A0"/>
    <w:rsid w:val="002536AF"/>
    <w:rsid w:val="00254C9E"/>
    <w:rsid w:val="00261F13"/>
    <w:rsid w:val="00263316"/>
    <w:rsid w:val="00263451"/>
    <w:rsid w:val="00263723"/>
    <w:rsid w:val="002658DA"/>
    <w:rsid w:val="00265E3F"/>
    <w:rsid w:val="0026672D"/>
    <w:rsid w:val="00270C77"/>
    <w:rsid w:val="00271F3E"/>
    <w:rsid w:val="00273144"/>
    <w:rsid w:val="002742AA"/>
    <w:rsid w:val="00275CC8"/>
    <w:rsid w:val="0027652F"/>
    <w:rsid w:val="00276ECA"/>
    <w:rsid w:val="00282402"/>
    <w:rsid w:val="00282FAF"/>
    <w:rsid w:val="002843C7"/>
    <w:rsid w:val="0029350D"/>
    <w:rsid w:val="00294554"/>
    <w:rsid w:val="00295815"/>
    <w:rsid w:val="0029680C"/>
    <w:rsid w:val="00296D4F"/>
    <w:rsid w:val="002976EB"/>
    <w:rsid w:val="002979D7"/>
    <w:rsid w:val="002A05FA"/>
    <w:rsid w:val="002A0884"/>
    <w:rsid w:val="002A26D4"/>
    <w:rsid w:val="002A2901"/>
    <w:rsid w:val="002A36A6"/>
    <w:rsid w:val="002A5A1A"/>
    <w:rsid w:val="002A5AA8"/>
    <w:rsid w:val="002A5D65"/>
    <w:rsid w:val="002A75C4"/>
    <w:rsid w:val="002A7A98"/>
    <w:rsid w:val="002B193D"/>
    <w:rsid w:val="002B51AA"/>
    <w:rsid w:val="002B5539"/>
    <w:rsid w:val="002B5664"/>
    <w:rsid w:val="002B74C3"/>
    <w:rsid w:val="002C254F"/>
    <w:rsid w:val="002C2CAC"/>
    <w:rsid w:val="002C3F22"/>
    <w:rsid w:val="002C4464"/>
    <w:rsid w:val="002C44B1"/>
    <w:rsid w:val="002C4B45"/>
    <w:rsid w:val="002C5102"/>
    <w:rsid w:val="002C5517"/>
    <w:rsid w:val="002C552D"/>
    <w:rsid w:val="002C57EF"/>
    <w:rsid w:val="002C61BE"/>
    <w:rsid w:val="002C6B71"/>
    <w:rsid w:val="002C7300"/>
    <w:rsid w:val="002D01F7"/>
    <w:rsid w:val="002D06CA"/>
    <w:rsid w:val="002D09F6"/>
    <w:rsid w:val="002D1B18"/>
    <w:rsid w:val="002D2471"/>
    <w:rsid w:val="002D30E5"/>
    <w:rsid w:val="002D5466"/>
    <w:rsid w:val="002D7032"/>
    <w:rsid w:val="002E05BD"/>
    <w:rsid w:val="002E0B24"/>
    <w:rsid w:val="002E0BCC"/>
    <w:rsid w:val="002E10D0"/>
    <w:rsid w:val="002E41B0"/>
    <w:rsid w:val="002E6F61"/>
    <w:rsid w:val="002E7493"/>
    <w:rsid w:val="002F0D57"/>
    <w:rsid w:val="002F1449"/>
    <w:rsid w:val="002F1A91"/>
    <w:rsid w:val="002F2C76"/>
    <w:rsid w:val="002F482F"/>
    <w:rsid w:val="002F4DBA"/>
    <w:rsid w:val="00300C77"/>
    <w:rsid w:val="00301494"/>
    <w:rsid w:val="003020C2"/>
    <w:rsid w:val="003031F8"/>
    <w:rsid w:val="003033FE"/>
    <w:rsid w:val="00304405"/>
    <w:rsid w:val="003049C7"/>
    <w:rsid w:val="00306511"/>
    <w:rsid w:val="003067AD"/>
    <w:rsid w:val="003110D9"/>
    <w:rsid w:val="003117D9"/>
    <w:rsid w:val="00311BC7"/>
    <w:rsid w:val="003139C1"/>
    <w:rsid w:val="0031513B"/>
    <w:rsid w:val="00317FEA"/>
    <w:rsid w:val="003208C7"/>
    <w:rsid w:val="0032184E"/>
    <w:rsid w:val="00325895"/>
    <w:rsid w:val="00326138"/>
    <w:rsid w:val="003309A7"/>
    <w:rsid w:val="00330B76"/>
    <w:rsid w:val="00331802"/>
    <w:rsid w:val="0033408A"/>
    <w:rsid w:val="0033719A"/>
    <w:rsid w:val="00337398"/>
    <w:rsid w:val="00337566"/>
    <w:rsid w:val="0033784C"/>
    <w:rsid w:val="0034058C"/>
    <w:rsid w:val="00341C6C"/>
    <w:rsid w:val="00341DB2"/>
    <w:rsid w:val="00341F37"/>
    <w:rsid w:val="00343658"/>
    <w:rsid w:val="0034408D"/>
    <w:rsid w:val="00344EA4"/>
    <w:rsid w:val="003450D9"/>
    <w:rsid w:val="00345496"/>
    <w:rsid w:val="0034733B"/>
    <w:rsid w:val="003507DE"/>
    <w:rsid w:val="003507ED"/>
    <w:rsid w:val="00352653"/>
    <w:rsid w:val="0035348D"/>
    <w:rsid w:val="00355333"/>
    <w:rsid w:val="00357997"/>
    <w:rsid w:val="00361CCB"/>
    <w:rsid w:val="00362B06"/>
    <w:rsid w:val="003652EC"/>
    <w:rsid w:val="003657B7"/>
    <w:rsid w:val="00365A1A"/>
    <w:rsid w:val="00366652"/>
    <w:rsid w:val="00367F1F"/>
    <w:rsid w:val="003746B0"/>
    <w:rsid w:val="00374814"/>
    <w:rsid w:val="00375D6D"/>
    <w:rsid w:val="00376F95"/>
    <w:rsid w:val="003807E4"/>
    <w:rsid w:val="00380AB7"/>
    <w:rsid w:val="003814ED"/>
    <w:rsid w:val="00381A61"/>
    <w:rsid w:val="00381AB3"/>
    <w:rsid w:val="0038264F"/>
    <w:rsid w:val="003836CA"/>
    <w:rsid w:val="003842F0"/>
    <w:rsid w:val="00384EC6"/>
    <w:rsid w:val="00385132"/>
    <w:rsid w:val="00387605"/>
    <w:rsid w:val="003878E6"/>
    <w:rsid w:val="00387FBC"/>
    <w:rsid w:val="00390262"/>
    <w:rsid w:val="00392166"/>
    <w:rsid w:val="00392A25"/>
    <w:rsid w:val="00393E7F"/>
    <w:rsid w:val="00393FC8"/>
    <w:rsid w:val="003944BB"/>
    <w:rsid w:val="003954D2"/>
    <w:rsid w:val="00397194"/>
    <w:rsid w:val="003A0A56"/>
    <w:rsid w:val="003A3ECF"/>
    <w:rsid w:val="003A4DE9"/>
    <w:rsid w:val="003A5EAE"/>
    <w:rsid w:val="003A6A4D"/>
    <w:rsid w:val="003A6C09"/>
    <w:rsid w:val="003B00AE"/>
    <w:rsid w:val="003B06FF"/>
    <w:rsid w:val="003B2094"/>
    <w:rsid w:val="003B31DD"/>
    <w:rsid w:val="003B4A82"/>
    <w:rsid w:val="003B4E58"/>
    <w:rsid w:val="003B52D4"/>
    <w:rsid w:val="003B6F49"/>
    <w:rsid w:val="003C02CA"/>
    <w:rsid w:val="003C1763"/>
    <w:rsid w:val="003C4311"/>
    <w:rsid w:val="003C6303"/>
    <w:rsid w:val="003C766A"/>
    <w:rsid w:val="003C7F0E"/>
    <w:rsid w:val="003D011C"/>
    <w:rsid w:val="003D24FD"/>
    <w:rsid w:val="003D27B8"/>
    <w:rsid w:val="003D33D6"/>
    <w:rsid w:val="003D3B68"/>
    <w:rsid w:val="003D3CD0"/>
    <w:rsid w:val="003D5D3B"/>
    <w:rsid w:val="003D6E24"/>
    <w:rsid w:val="003E0357"/>
    <w:rsid w:val="003E3503"/>
    <w:rsid w:val="003E3E70"/>
    <w:rsid w:val="003E3E74"/>
    <w:rsid w:val="003E510F"/>
    <w:rsid w:val="003E52EC"/>
    <w:rsid w:val="003E55BC"/>
    <w:rsid w:val="003E6D8E"/>
    <w:rsid w:val="003F1385"/>
    <w:rsid w:val="003F2167"/>
    <w:rsid w:val="003F4527"/>
    <w:rsid w:val="003F52A4"/>
    <w:rsid w:val="003F5852"/>
    <w:rsid w:val="003F5E76"/>
    <w:rsid w:val="003F6C46"/>
    <w:rsid w:val="003F7352"/>
    <w:rsid w:val="004017C8"/>
    <w:rsid w:val="0040307D"/>
    <w:rsid w:val="0040386D"/>
    <w:rsid w:val="00403F1C"/>
    <w:rsid w:val="00410B70"/>
    <w:rsid w:val="00411C93"/>
    <w:rsid w:val="00417A21"/>
    <w:rsid w:val="0042091C"/>
    <w:rsid w:val="004251A5"/>
    <w:rsid w:val="0042526B"/>
    <w:rsid w:val="00430F08"/>
    <w:rsid w:val="00432CDD"/>
    <w:rsid w:val="00435970"/>
    <w:rsid w:val="0043626D"/>
    <w:rsid w:val="00442A07"/>
    <w:rsid w:val="00443937"/>
    <w:rsid w:val="004444FC"/>
    <w:rsid w:val="004476AA"/>
    <w:rsid w:val="0045021E"/>
    <w:rsid w:val="00450ADD"/>
    <w:rsid w:val="00450FEE"/>
    <w:rsid w:val="00452AD2"/>
    <w:rsid w:val="00454FE3"/>
    <w:rsid w:val="0045560B"/>
    <w:rsid w:val="00455AC3"/>
    <w:rsid w:val="004567DF"/>
    <w:rsid w:val="00457035"/>
    <w:rsid w:val="00457730"/>
    <w:rsid w:val="0046006F"/>
    <w:rsid w:val="004606FC"/>
    <w:rsid w:val="00460F9E"/>
    <w:rsid w:val="00460FDC"/>
    <w:rsid w:val="00462355"/>
    <w:rsid w:val="00462B7F"/>
    <w:rsid w:val="004635EE"/>
    <w:rsid w:val="004638BB"/>
    <w:rsid w:val="004651BB"/>
    <w:rsid w:val="0046549A"/>
    <w:rsid w:val="00466945"/>
    <w:rsid w:val="00470282"/>
    <w:rsid w:val="004748BA"/>
    <w:rsid w:val="00474A64"/>
    <w:rsid w:val="00475158"/>
    <w:rsid w:val="004763C9"/>
    <w:rsid w:val="0047642C"/>
    <w:rsid w:val="00476779"/>
    <w:rsid w:val="00481247"/>
    <w:rsid w:val="004820A1"/>
    <w:rsid w:val="004820CB"/>
    <w:rsid w:val="004822D3"/>
    <w:rsid w:val="00482F02"/>
    <w:rsid w:val="00483CBB"/>
    <w:rsid w:val="004868D1"/>
    <w:rsid w:val="00487EC6"/>
    <w:rsid w:val="00490B21"/>
    <w:rsid w:val="00494717"/>
    <w:rsid w:val="004A310F"/>
    <w:rsid w:val="004B331D"/>
    <w:rsid w:val="004B48F1"/>
    <w:rsid w:val="004B494F"/>
    <w:rsid w:val="004B4F24"/>
    <w:rsid w:val="004B5660"/>
    <w:rsid w:val="004B6AC3"/>
    <w:rsid w:val="004B7F0E"/>
    <w:rsid w:val="004C1B04"/>
    <w:rsid w:val="004C5AC1"/>
    <w:rsid w:val="004C6B7A"/>
    <w:rsid w:val="004D14D8"/>
    <w:rsid w:val="004D1C27"/>
    <w:rsid w:val="004D3130"/>
    <w:rsid w:val="004D42A9"/>
    <w:rsid w:val="004D61E1"/>
    <w:rsid w:val="004E1224"/>
    <w:rsid w:val="004E321B"/>
    <w:rsid w:val="004E3306"/>
    <w:rsid w:val="004E3429"/>
    <w:rsid w:val="004E3788"/>
    <w:rsid w:val="004E6550"/>
    <w:rsid w:val="004E6C6E"/>
    <w:rsid w:val="004F08C3"/>
    <w:rsid w:val="004F0CD4"/>
    <w:rsid w:val="004F2427"/>
    <w:rsid w:val="004F2D28"/>
    <w:rsid w:val="004F3BC3"/>
    <w:rsid w:val="004F4C1F"/>
    <w:rsid w:val="004F7CB3"/>
    <w:rsid w:val="00500FEC"/>
    <w:rsid w:val="0050129F"/>
    <w:rsid w:val="00501978"/>
    <w:rsid w:val="00501B51"/>
    <w:rsid w:val="00504C65"/>
    <w:rsid w:val="005065E5"/>
    <w:rsid w:val="00507E0A"/>
    <w:rsid w:val="0051124D"/>
    <w:rsid w:val="00511C42"/>
    <w:rsid w:val="00513E14"/>
    <w:rsid w:val="0051600C"/>
    <w:rsid w:val="00516690"/>
    <w:rsid w:val="00520A84"/>
    <w:rsid w:val="00520B2C"/>
    <w:rsid w:val="00520EF5"/>
    <w:rsid w:val="005215AD"/>
    <w:rsid w:val="00521DA4"/>
    <w:rsid w:val="0052204A"/>
    <w:rsid w:val="0052268A"/>
    <w:rsid w:val="00522E80"/>
    <w:rsid w:val="005233B9"/>
    <w:rsid w:val="00523976"/>
    <w:rsid w:val="00523DB7"/>
    <w:rsid w:val="0052471F"/>
    <w:rsid w:val="00524974"/>
    <w:rsid w:val="00526606"/>
    <w:rsid w:val="0052767A"/>
    <w:rsid w:val="00527B03"/>
    <w:rsid w:val="005312C5"/>
    <w:rsid w:val="00531F8C"/>
    <w:rsid w:val="005328E2"/>
    <w:rsid w:val="00532EFD"/>
    <w:rsid w:val="00533300"/>
    <w:rsid w:val="005333CD"/>
    <w:rsid w:val="0053358D"/>
    <w:rsid w:val="005364BD"/>
    <w:rsid w:val="00536A5A"/>
    <w:rsid w:val="00536E3A"/>
    <w:rsid w:val="005376ED"/>
    <w:rsid w:val="00540ADF"/>
    <w:rsid w:val="00543D84"/>
    <w:rsid w:val="00544847"/>
    <w:rsid w:val="00546937"/>
    <w:rsid w:val="005503C0"/>
    <w:rsid w:val="0055217D"/>
    <w:rsid w:val="00552270"/>
    <w:rsid w:val="005523BE"/>
    <w:rsid w:val="00552E5F"/>
    <w:rsid w:val="005544FD"/>
    <w:rsid w:val="00557E8E"/>
    <w:rsid w:val="005613F7"/>
    <w:rsid w:val="00561FE2"/>
    <w:rsid w:val="005622A4"/>
    <w:rsid w:val="005624E6"/>
    <w:rsid w:val="00562A1B"/>
    <w:rsid w:val="00562ABA"/>
    <w:rsid w:val="00563FB5"/>
    <w:rsid w:val="00565FF0"/>
    <w:rsid w:val="00566670"/>
    <w:rsid w:val="0057008C"/>
    <w:rsid w:val="00572644"/>
    <w:rsid w:val="00573FA2"/>
    <w:rsid w:val="0057676F"/>
    <w:rsid w:val="005802D0"/>
    <w:rsid w:val="00582C9E"/>
    <w:rsid w:val="005835FD"/>
    <w:rsid w:val="00585C0E"/>
    <w:rsid w:val="00586738"/>
    <w:rsid w:val="005875A2"/>
    <w:rsid w:val="00587735"/>
    <w:rsid w:val="00591B2E"/>
    <w:rsid w:val="00593BB5"/>
    <w:rsid w:val="00596B87"/>
    <w:rsid w:val="0059783D"/>
    <w:rsid w:val="005A059C"/>
    <w:rsid w:val="005A0E7A"/>
    <w:rsid w:val="005A1F32"/>
    <w:rsid w:val="005A28C9"/>
    <w:rsid w:val="005A33D0"/>
    <w:rsid w:val="005A3569"/>
    <w:rsid w:val="005A47F9"/>
    <w:rsid w:val="005A5AB5"/>
    <w:rsid w:val="005A619E"/>
    <w:rsid w:val="005A6664"/>
    <w:rsid w:val="005B0AB7"/>
    <w:rsid w:val="005B11E5"/>
    <w:rsid w:val="005B14EB"/>
    <w:rsid w:val="005B14F2"/>
    <w:rsid w:val="005B3263"/>
    <w:rsid w:val="005B32F3"/>
    <w:rsid w:val="005B3BD7"/>
    <w:rsid w:val="005B54F2"/>
    <w:rsid w:val="005B64D9"/>
    <w:rsid w:val="005B6F50"/>
    <w:rsid w:val="005B798C"/>
    <w:rsid w:val="005B7AF7"/>
    <w:rsid w:val="005C0C96"/>
    <w:rsid w:val="005C1BC8"/>
    <w:rsid w:val="005C4241"/>
    <w:rsid w:val="005C5535"/>
    <w:rsid w:val="005C629B"/>
    <w:rsid w:val="005C6D06"/>
    <w:rsid w:val="005C7DD0"/>
    <w:rsid w:val="005D12B6"/>
    <w:rsid w:val="005D4AA7"/>
    <w:rsid w:val="005D67DE"/>
    <w:rsid w:val="005E0625"/>
    <w:rsid w:val="005E181C"/>
    <w:rsid w:val="005E30F0"/>
    <w:rsid w:val="005E3167"/>
    <w:rsid w:val="005E420D"/>
    <w:rsid w:val="005E4417"/>
    <w:rsid w:val="005E470F"/>
    <w:rsid w:val="005E58A7"/>
    <w:rsid w:val="005E7258"/>
    <w:rsid w:val="005F0B89"/>
    <w:rsid w:val="005F0C00"/>
    <w:rsid w:val="005F0CFF"/>
    <w:rsid w:val="005F42B0"/>
    <w:rsid w:val="005F5682"/>
    <w:rsid w:val="005F648A"/>
    <w:rsid w:val="006051E7"/>
    <w:rsid w:val="006059BA"/>
    <w:rsid w:val="00606295"/>
    <w:rsid w:val="006066CA"/>
    <w:rsid w:val="00607C45"/>
    <w:rsid w:val="00612B65"/>
    <w:rsid w:val="00613A72"/>
    <w:rsid w:val="006144E3"/>
    <w:rsid w:val="006175FC"/>
    <w:rsid w:val="00617C40"/>
    <w:rsid w:val="006235ED"/>
    <w:rsid w:val="00624305"/>
    <w:rsid w:val="00624490"/>
    <w:rsid w:val="0063225B"/>
    <w:rsid w:val="0063331F"/>
    <w:rsid w:val="006335CD"/>
    <w:rsid w:val="0063597F"/>
    <w:rsid w:val="00637A2B"/>
    <w:rsid w:val="006400D4"/>
    <w:rsid w:val="00642AF7"/>
    <w:rsid w:val="00642D62"/>
    <w:rsid w:val="00643D34"/>
    <w:rsid w:val="00644AFE"/>
    <w:rsid w:val="006451B2"/>
    <w:rsid w:val="00645680"/>
    <w:rsid w:val="00647E6E"/>
    <w:rsid w:val="00647FE9"/>
    <w:rsid w:val="006503EA"/>
    <w:rsid w:val="00651C7F"/>
    <w:rsid w:val="00651DED"/>
    <w:rsid w:val="00652FD2"/>
    <w:rsid w:val="00654370"/>
    <w:rsid w:val="00654A21"/>
    <w:rsid w:val="00656234"/>
    <w:rsid w:val="00657B19"/>
    <w:rsid w:val="00662D72"/>
    <w:rsid w:val="00662DEB"/>
    <w:rsid w:val="006639E9"/>
    <w:rsid w:val="0066584C"/>
    <w:rsid w:val="00671723"/>
    <w:rsid w:val="006730D5"/>
    <w:rsid w:val="00674162"/>
    <w:rsid w:val="00674283"/>
    <w:rsid w:val="00676A54"/>
    <w:rsid w:val="006773D6"/>
    <w:rsid w:val="00677603"/>
    <w:rsid w:val="006777EA"/>
    <w:rsid w:val="0068193F"/>
    <w:rsid w:val="00681BB8"/>
    <w:rsid w:val="00681C07"/>
    <w:rsid w:val="00681C40"/>
    <w:rsid w:val="00682AF5"/>
    <w:rsid w:val="00685E98"/>
    <w:rsid w:val="0068602D"/>
    <w:rsid w:val="0068796D"/>
    <w:rsid w:val="00690253"/>
    <w:rsid w:val="006907B4"/>
    <w:rsid w:val="00692714"/>
    <w:rsid w:val="006942C0"/>
    <w:rsid w:val="00694527"/>
    <w:rsid w:val="00694561"/>
    <w:rsid w:val="00695DF3"/>
    <w:rsid w:val="00696992"/>
    <w:rsid w:val="0069728A"/>
    <w:rsid w:val="006A0FE4"/>
    <w:rsid w:val="006A6C7D"/>
    <w:rsid w:val="006A6D27"/>
    <w:rsid w:val="006B16DE"/>
    <w:rsid w:val="006B5BE2"/>
    <w:rsid w:val="006B60DA"/>
    <w:rsid w:val="006B6C08"/>
    <w:rsid w:val="006B7746"/>
    <w:rsid w:val="006C09F8"/>
    <w:rsid w:val="006C0E34"/>
    <w:rsid w:val="006C1F4D"/>
    <w:rsid w:val="006D36A8"/>
    <w:rsid w:val="006D38FB"/>
    <w:rsid w:val="006D41DD"/>
    <w:rsid w:val="006D4A24"/>
    <w:rsid w:val="006D61E6"/>
    <w:rsid w:val="006D73F0"/>
    <w:rsid w:val="006E052D"/>
    <w:rsid w:val="006E0ABC"/>
    <w:rsid w:val="006E0D8D"/>
    <w:rsid w:val="006E1592"/>
    <w:rsid w:val="006E2396"/>
    <w:rsid w:val="006E48DB"/>
    <w:rsid w:val="006E55B8"/>
    <w:rsid w:val="006E5E63"/>
    <w:rsid w:val="006E7797"/>
    <w:rsid w:val="006E78D1"/>
    <w:rsid w:val="006F2492"/>
    <w:rsid w:val="006F34D0"/>
    <w:rsid w:val="006F41A5"/>
    <w:rsid w:val="006F4D37"/>
    <w:rsid w:val="006F5482"/>
    <w:rsid w:val="006F642A"/>
    <w:rsid w:val="006F7940"/>
    <w:rsid w:val="00700F73"/>
    <w:rsid w:val="00701580"/>
    <w:rsid w:val="00701CC3"/>
    <w:rsid w:val="00702856"/>
    <w:rsid w:val="00702E3F"/>
    <w:rsid w:val="00703456"/>
    <w:rsid w:val="00703842"/>
    <w:rsid w:val="00704566"/>
    <w:rsid w:val="00706C79"/>
    <w:rsid w:val="007072BF"/>
    <w:rsid w:val="00710093"/>
    <w:rsid w:val="0071383F"/>
    <w:rsid w:val="00713C23"/>
    <w:rsid w:val="00714401"/>
    <w:rsid w:val="00716480"/>
    <w:rsid w:val="007174E0"/>
    <w:rsid w:val="00720816"/>
    <w:rsid w:val="00720B8A"/>
    <w:rsid w:val="007233B8"/>
    <w:rsid w:val="007257AE"/>
    <w:rsid w:val="00727F09"/>
    <w:rsid w:val="00730D40"/>
    <w:rsid w:val="007310C7"/>
    <w:rsid w:val="0073318F"/>
    <w:rsid w:val="007337F6"/>
    <w:rsid w:val="00734513"/>
    <w:rsid w:val="00735747"/>
    <w:rsid w:val="007379A1"/>
    <w:rsid w:val="00741229"/>
    <w:rsid w:val="00742890"/>
    <w:rsid w:val="007432C4"/>
    <w:rsid w:val="00743FDD"/>
    <w:rsid w:val="00744A70"/>
    <w:rsid w:val="0074508E"/>
    <w:rsid w:val="00746681"/>
    <w:rsid w:val="007511BB"/>
    <w:rsid w:val="007536A1"/>
    <w:rsid w:val="00753C29"/>
    <w:rsid w:val="00753FFB"/>
    <w:rsid w:val="00757820"/>
    <w:rsid w:val="00761C4D"/>
    <w:rsid w:val="007620FC"/>
    <w:rsid w:val="00762941"/>
    <w:rsid w:val="00763FEC"/>
    <w:rsid w:val="00764105"/>
    <w:rsid w:val="00764388"/>
    <w:rsid w:val="007655F2"/>
    <w:rsid w:val="00766EE3"/>
    <w:rsid w:val="00770B78"/>
    <w:rsid w:val="007716C9"/>
    <w:rsid w:val="00772492"/>
    <w:rsid w:val="0077288A"/>
    <w:rsid w:val="0077410B"/>
    <w:rsid w:val="00774375"/>
    <w:rsid w:val="00774E51"/>
    <w:rsid w:val="00774E7D"/>
    <w:rsid w:val="0077550F"/>
    <w:rsid w:val="00780E9E"/>
    <w:rsid w:val="007818D3"/>
    <w:rsid w:val="00784805"/>
    <w:rsid w:val="00785936"/>
    <w:rsid w:val="00785FC2"/>
    <w:rsid w:val="00787EDF"/>
    <w:rsid w:val="00787F88"/>
    <w:rsid w:val="00787FA1"/>
    <w:rsid w:val="007939B8"/>
    <w:rsid w:val="0079507B"/>
    <w:rsid w:val="00795C21"/>
    <w:rsid w:val="00796AE4"/>
    <w:rsid w:val="007A1EA6"/>
    <w:rsid w:val="007A6451"/>
    <w:rsid w:val="007A7415"/>
    <w:rsid w:val="007A7416"/>
    <w:rsid w:val="007A7652"/>
    <w:rsid w:val="007B02BE"/>
    <w:rsid w:val="007B0619"/>
    <w:rsid w:val="007B182E"/>
    <w:rsid w:val="007B2684"/>
    <w:rsid w:val="007B73E1"/>
    <w:rsid w:val="007C1F17"/>
    <w:rsid w:val="007C2055"/>
    <w:rsid w:val="007C22C0"/>
    <w:rsid w:val="007C3A5C"/>
    <w:rsid w:val="007C4079"/>
    <w:rsid w:val="007C516C"/>
    <w:rsid w:val="007C5741"/>
    <w:rsid w:val="007D1501"/>
    <w:rsid w:val="007D1932"/>
    <w:rsid w:val="007D32B0"/>
    <w:rsid w:val="007D40B3"/>
    <w:rsid w:val="007D4FFE"/>
    <w:rsid w:val="007D78D0"/>
    <w:rsid w:val="007E115F"/>
    <w:rsid w:val="007E1344"/>
    <w:rsid w:val="007E1350"/>
    <w:rsid w:val="007E1D53"/>
    <w:rsid w:val="007E2480"/>
    <w:rsid w:val="007E252F"/>
    <w:rsid w:val="007E5D66"/>
    <w:rsid w:val="007E6518"/>
    <w:rsid w:val="007E7A17"/>
    <w:rsid w:val="007E7A2B"/>
    <w:rsid w:val="007F2463"/>
    <w:rsid w:val="007F26E2"/>
    <w:rsid w:val="007F4577"/>
    <w:rsid w:val="007F52F8"/>
    <w:rsid w:val="007F6096"/>
    <w:rsid w:val="00806010"/>
    <w:rsid w:val="00806743"/>
    <w:rsid w:val="00811C2D"/>
    <w:rsid w:val="00811D8C"/>
    <w:rsid w:val="00813F0F"/>
    <w:rsid w:val="00817879"/>
    <w:rsid w:val="00820C0E"/>
    <w:rsid w:val="008217C2"/>
    <w:rsid w:val="00821BA4"/>
    <w:rsid w:val="00822C4B"/>
    <w:rsid w:val="00823FD7"/>
    <w:rsid w:val="00824460"/>
    <w:rsid w:val="00825269"/>
    <w:rsid w:val="00826A8D"/>
    <w:rsid w:val="00827179"/>
    <w:rsid w:val="00827A4B"/>
    <w:rsid w:val="00830F61"/>
    <w:rsid w:val="00831C1E"/>
    <w:rsid w:val="008332FB"/>
    <w:rsid w:val="00834BCC"/>
    <w:rsid w:val="008353D7"/>
    <w:rsid w:val="00836174"/>
    <w:rsid w:val="00836556"/>
    <w:rsid w:val="00836871"/>
    <w:rsid w:val="008410F3"/>
    <w:rsid w:val="00841531"/>
    <w:rsid w:val="00842973"/>
    <w:rsid w:val="00844E4D"/>
    <w:rsid w:val="0084528A"/>
    <w:rsid w:val="00845E62"/>
    <w:rsid w:val="00846762"/>
    <w:rsid w:val="00847328"/>
    <w:rsid w:val="008475A0"/>
    <w:rsid w:val="00850667"/>
    <w:rsid w:val="00854C44"/>
    <w:rsid w:val="008559FF"/>
    <w:rsid w:val="008563C0"/>
    <w:rsid w:val="00857F6A"/>
    <w:rsid w:val="00862456"/>
    <w:rsid w:val="00862772"/>
    <w:rsid w:val="0086293C"/>
    <w:rsid w:val="008635F2"/>
    <w:rsid w:val="00864C9D"/>
    <w:rsid w:val="00864F39"/>
    <w:rsid w:val="00867C1C"/>
    <w:rsid w:val="00870E5A"/>
    <w:rsid w:val="00872827"/>
    <w:rsid w:val="00873520"/>
    <w:rsid w:val="008756F9"/>
    <w:rsid w:val="00877566"/>
    <w:rsid w:val="00877E85"/>
    <w:rsid w:val="008805E8"/>
    <w:rsid w:val="00882D83"/>
    <w:rsid w:val="00882F8B"/>
    <w:rsid w:val="00883718"/>
    <w:rsid w:val="00886E35"/>
    <w:rsid w:val="008901FF"/>
    <w:rsid w:val="0089067B"/>
    <w:rsid w:val="00892886"/>
    <w:rsid w:val="00894324"/>
    <w:rsid w:val="008969C1"/>
    <w:rsid w:val="00897DC4"/>
    <w:rsid w:val="008A00FC"/>
    <w:rsid w:val="008A0ABA"/>
    <w:rsid w:val="008A1B59"/>
    <w:rsid w:val="008A2494"/>
    <w:rsid w:val="008A2B13"/>
    <w:rsid w:val="008A372E"/>
    <w:rsid w:val="008A4515"/>
    <w:rsid w:val="008A4698"/>
    <w:rsid w:val="008A7A6C"/>
    <w:rsid w:val="008A7DE9"/>
    <w:rsid w:val="008B0C09"/>
    <w:rsid w:val="008B1E80"/>
    <w:rsid w:val="008B3868"/>
    <w:rsid w:val="008B51AB"/>
    <w:rsid w:val="008C24EB"/>
    <w:rsid w:val="008C2790"/>
    <w:rsid w:val="008C3EDE"/>
    <w:rsid w:val="008C524B"/>
    <w:rsid w:val="008C5A01"/>
    <w:rsid w:val="008D29A5"/>
    <w:rsid w:val="008D2BFB"/>
    <w:rsid w:val="008D373D"/>
    <w:rsid w:val="008D54C1"/>
    <w:rsid w:val="008D656C"/>
    <w:rsid w:val="008D7BB8"/>
    <w:rsid w:val="008E09CE"/>
    <w:rsid w:val="008E09EA"/>
    <w:rsid w:val="008E1705"/>
    <w:rsid w:val="008E3CD8"/>
    <w:rsid w:val="008E436C"/>
    <w:rsid w:val="008E4597"/>
    <w:rsid w:val="008E7D03"/>
    <w:rsid w:val="008F4978"/>
    <w:rsid w:val="008F4B3D"/>
    <w:rsid w:val="008F4C7F"/>
    <w:rsid w:val="008F5F3D"/>
    <w:rsid w:val="008F6C78"/>
    <w:rsid w:val="008F6DDD"/>
    <w:rsid w:val="008F6FE6"/>
    <w:rsid w:val="008F7CE8"/>
    <w:rsid w:val="00900D3F"/>
    <w:rsid w:val="00901FB3"/>
    <w:rsid w:val="00903F1E"/>
    <w:rsid w:val="00905026"/>
    <w:rsid w:val="00905D49"/>
    <w:rsid w:val="009064FF"/>
    <w:rsid w:val="0090660E"/>
    <w:rsid w:val="00907EDD"/>
    <w:rsid w:val="009108C5"/>
    <w:rsid w:val="009110B9"/>
    <w:rsid w:val="00912CDE"/>
    <w:rsid w:val="00913B16"/>
    <w:rsid w:val="0091410D"/>
    <w:rsid w:val="00915BDE"/>
    <w:rsid w:val="009207A2"/>
    <w:rsid w:val="0092097C"/>
    <w:rsid w:val="00920FBE"/>
    <w:rsid w:val="0092185B"/>
    <w:rsid w:val="00922051"/>
    <w:rsid w:val="00923522"/>
    <w:rsid w:val="0092381E"/>
    <w:rsid w:val="00923DEA"/>
    <w:rsid w:val="00925008"/>
    <w:rsid w:val="00925374"/>
    <w:rsid w:val="00925B65"/>
    <w:rsid w:val="0092735A"/>
    <w:rsid w:val="00931680"/>
    <w:rsid w:val="009338E5"/>
    <w:rsid w:val="00936592"/>
    <w:rsid w:val="00937DDE"/>
    <w:rsid w:val="009414D6"/>
    <w:rsid w:val="00942A27"/>
    <w:rsid w:val="00943377"/>
    <w:rsid w:val="00943A1A"/>
    <w:rsid w:val="00943E73"/>
    <w:rsid w:val="0094475E"/>
    <w:rsid w:val="00944F77"/>
    <w:rsid w:val="00947099"/>
    <w:rsid w:val="009472A5"/>
    <w:rsid w:val="00947974"/>
    <w:rsid w:val="00947DD4"/>
    <w:rsid w:val="00951607"/>
    <w:rsid w:val="009534F2"/>
    <w:rsid w:val="00954C30"/>
    <w:rsid w:val="00956A89"/>
    <w:rsid w:val="009576F6"/>
    <w:rsid w:val="00960C58"/>
    <w:rsid w:val="0096122B"/>
    <w:rsid w:val="0096317C"/>
    <w:rsid w:val="0096538C"/>
    <w:rsid w:val="009657E6"/>
    <w:rsid w:val="00965D26"/>
    <w:rsid w:val="009660FE"/>
    <w:rsid w:val="009665A3"/>
    <w:rsid w:val="009666F4"/>
    <w:rsid w:val="00966EC0"/>
    <w:rsid w:val="00967299"/>
    <w:rsid w:val="00967B5B"/>
    <w:rsid w:val="00970B9C"/>
    <w:rsid w:val="00971836"/>
    <w:rsid w:val="00972036"/>
    <w:rsid w:val="00972722"/>
    <w:rsid w:val="00973407"/>
    <w:rsid w:val="00973AC7"/>
    <w:rsid w:val="0097492D"/>
    <w:rsid w:val="00975C9C"/>
    <w:rsid w:val="00981420"/>
    <w:rsid w:val="009822C4"/>
    <w:rsid w:val="00982D4F"/>
    <w:rsid w:val="00984178"/>
    <w:rsid w:val="00984C52"/>
    <w:rsid w:val="00985417"/>
    <w:rsid w:val="009865B1"/>
    <w:rsid w:val="00990889"/>
    <w:rsid w:val="00990997"/>
    <w:rsid w:val="00990E83"/>
    <w:rsid w:val="00991B0C"/>
    <w:rsid w:val="00991BCE"/>
    <w:rsid w:val="00993FC8"/>
    <w:rsid w:val="00996294"/>
    <w:rsid w:val="009A0088"/>
    <w:rsid w:val="009A166A"/>
    <w:rsid w:val="009A1BEB"/>
    <w:rsid w:val="009A1E0A"/>
    <w:rsid w:val="009A287B"/>
    <w:rsid w:val="009A66F0"/>
    <w:rsid w:val="009A7422"/>
    <w:rsid w:val="009B089A"/>
    <w:rsid w:val="009B1BDD"/>
    <w:rsid w:val="009B2C73"/>
    <w:rsid w:val="009B2DEC"/>
    <w:rsid w:val="009B33E9"/>
    <w:rsid w:val="009B528F"/>
    <w:rsid w:val="009B61D6"/>
    <w:rsid w:val="009B6B44"/>
    <w:rsid w:val="009C0879"/>
    <w:rsid w:val="009C186F"/>
    <w:rsid w:val="009C2A59"/>
    <w:rsid w:val="009C2EFC"/>
    <w:rsid w:val="009C2F7C"/>
    <w:rsid w:val="009C39B9"/>
    <w:rsid w:val="009C3A87"/>
    <w:rsid w:val="009C5179"/>
    <w:rsid w:val="009C6B00"/>
    <w:rsid w:val="009C7B2B"/>
    <w:rsid w:val="009D0FD9"/>
    <w:rsid w:val="009D3277"/>
    <w:rsid w:val="009D3BD0"/>
    <w:rsid w:val="009D513C"/>
    <w:rsid w:val="009D737C"/>
    <w:rsid w:val="009E0520"/>
    <w:rsid w:val="009E29E6"/>
    <w:rsid w:val="009E4832"/>
    <w:rsid w:val="009E570F"/>
    <w:rsid w:val="009E5C9F"/>
    <w:rsid w:val="009E6FB5"/>
    <w:rsid w:val="009E77C2"/>
    <w:rsid w:val="009F029C"/>
    <w:rsid w:val="009F03FF"/>
    <w:rsid w:val="009F1510"/>
    <w:rsid w:val="009F1541"/>
    <w:rsid w:val="009F1A57"/>
    <w:rsid w:val="009F34C2"/>
    <w:rsid w:val="009F38E2"/>
    <w:rsid w:val="009F3B21"/>
    <w:rsid w:val="009F40CE"/>
    <w:rsid w:val="009F4345"/>
    <w:rsid w:val="009F4E41"/>
    <w:rsid w:val="009F70AA"/>
    <w:rsid w:val="00A0020F"/>
    <w:rsid w:val="00A0108B"/>
    <w:rsid w:val="00A01CE2"/>
    <w:rsid w:val="00A02ED0"/>
    <w:rsid w:val="00A02F87"/>
    <w:rsid w:val="00A03274"/>
    <w:rsid w:val="00A046F3"/>
    <w:rsid w:val="00A119B9"/>
    <w:rsid w:val="00A1249B"/>
    <w:rsid w:val="00A125BB"/>
    <w:rsid w:val="00A12A60"/>
    <w:rsid w:val="00A15FAA"/>
    <w:rsid w:val="00A1660A"/>
    <w:rsid w:val="00A21227"/>
    <w:rsid w:val="00A21392"/>
    <w:rsid w:val="00A22C8A"/>
    <w:rsid w:val="00A23221"/>
    <w:rsid w:val="00A2358D"/>
    <w:rsid w:val="00A23A13"/>
    <w:rsid w:val="00A252DF"/>
    <w:rsid w:val="00A25741"/>
    <w:rsid w:val="00A26E79"/>
    <w:rsid w:val="00A279EE"/>
    <w:rsid w:val="00A319B9"/>
    <w:rsid w:val="00A31A45"/>
    <w:rsid w:val="00A31DE0"/>
    <w:rsid w:val="00A32508"/>
    <w:rsid w:val="00A329B3"/>
    <w:rsid w:val="00A3568F"/>
    <w:rsid w:val="00A371D0"/>
    <w:rsid w:val="00A377CD"/>
    <w:rsid w:val="00A379BD"/>
    <w:rsid w:val="00A37D27"/>
    <w:rsid w:val="00A45F2F"/>
    <w:rsid w:val="00A46EA5"/>
    <w:rsid w:val="00A479FB"/>
    <w:rsid w:val="00A50170"/>
    <w:rsid w:val="00A50273"/>
    <w:rsid w:val="00A52877"/>
    <w:rsid w:val="00A529D4"/>
    <w:rsid w:val="00A542B1"/>
    <w:rsid w:val="00A561E8"/>
    <w:rsid w:val="00A56732"/>
    <w:rsid w:val="00A56842"/>
    <w:rsid w:val="00A56DC4"/>
    <w:rsid w:val="00A616C5"/>
    <w:rsid w:val="00A61CA3"/>
    <w:rsid w:val="00A63017"/>
    <w:rsid w:val="00A64448"/>
    <w:rsid w:val="00A64DE2"/>
    <w:rsid w:val="00A66170"/>
    <w:rsid w:val="00A66397"/>
    <w:rsid w:val="00A674F2"/>
    <w:rsid w:val="00A70366"/>
    <w:rsid w:val="00A708B0"/>
    <w:rsid w:val="00A71652"/>
    <w:rsid w:val="00A718E4"/>
    <w:rsid w:val="00A73818"/>
    <w:rsid w:val="00A73CA7"/>
    <w:rsid w:val="00A7427D"/>
    <w:rsid w:val="00A74F6E"/>
    <w:rsid w:val="00A75B4C"/>
    <w:rsid w:val="00A76CED"/>
    <w:rsid w:val="00A77660"/>
    <w:rsid w:val="00A80840"/>
    <w:rsid w:val="00A824A8"/>
    <w:rsid w:val="00A8562F"/>
    <w:rsid w:val="00A87EE5"/>
    <w:rsid w:val="00A920A8"/>
    <w:rsid w:val="00A92252"/>
    <w:rsid w:val="00A92837"/>
    <w:rsid w:val="00A930A7"/>
    <w:rsid w:val="00A93494"/>
    <w:rsid w:val="00A9405C"/>
    <w:rsid w:val="00A9418A"/>
    <w:rsid w:val="00A941D2"/>
    <w:rsid w:val="00A953B2"/>
    <w:rsid w:val="00A96F71"/>
    <w:rsid w:val="00AA318E"/>
    <w:rsid w:val="00AA36EB"/>
    <w:rsid w:val="00AA517C"/>
    <w:rsid w:val="00AA523D"/>
    <w:rsid w:val="00AA7338"/>
    <w:rsid w:val="00AA7731"/>
    <w:rsid w:val="00AB0368"/>
    <w:rsid w:val="00AB107D"/>
    <w:rsid w:val="00AB1922"/>
    <w:rsid w:val="00AB24D5"/>
    <w:rsid w:val="00AB265D"/>
    <w:rsid w:val="00AB409A"/>
    <w:rsid w:val="00AB43E0"/>
    <w:rsid w:val="00AB4F6E"/>
    <w:rsid w:val="00AB5A0C"/>
    <w:rsid w:val="00AB5DF9"/>
    <w:rsid w:val="00AB76C0"/>
    <w:rsid w:val="00AB78A7"/>
    <w:rsid w:val="00AC046D"/>
    <w:rsid w:val="00AC1EB9"/>
    <w:rsid w:val="00AC5AED"/>
    <w:rsid w:val="00AC67E2"/>
    <w:rsid w:val="00AC7923"/>
    <w:rsid w:val="00AD1F56"/>
    <w:rsid w:val="00AD3BE5"/>
    <w:rsid w:val="00AD4DAF"/>
    <w:rsid w:val="00AD4DCB"/>
    <w:rsid w:val="00AD5CC4"/>
    <w:rsid w:val="00AD5DDA"/>
    <w:rsid w:val="00AD5F30"/>
    <w:rsid w:val="00AD65BA"/>
    <w:rsid w:val="00AD6ADB"/>
    <w:rsid w:val="00AE0161"/>
    <w:rsid w:val="00AE0419"/>
    <w:rsid w:val="00AE2DAC"/>
    <w:rsid w:val="00AE37CB"/>
    <w:rsid w:val="00AE6F0E"/>
    <w:rsid w:val="00AF0E19"/>
    <w:rsid w:val="00AF0EC6"/>
    <w:rsid w:val="00AF21E7"/>
    <w:rsid w:val="00AF2299"/>
    <w:rsid w:val="00AF33C1"/>
    <w:rsid w:val="00AF3484"/>
    <w:rsid w:val="00AF3DEE"/>
    <w:rsid w:val="00AF421E"/>
    <w:rsid w:val="00AF4972"/>
    <w:rsid w:val="00AF49CD"/>
    <w:rsid w:val="00AF4CA3"/>
    <w:rsid w:val="00AF659C"/>
    <w:rsid w:val="00AF688A"/>
    <w:rsid w:val="00B008BD"/>
    <w:rsid w:val="00B00B67"/>
    <w:rsid w:val="00B00BC1"/>
    <w:rsid w:val="00B0126B"/>
    <w:rsid w:val="00B023E0"/>
    <w:rsid w:val="00B02F0B"/>
    <w:rsid w:val="00B03FD4"/>
    <w:rsid w:val="00B05395"/>
    <w:rsid w:val="00B059A7"/>
    <w:rsid w:val="00B0669A"/>
    <w:rsid w:val="00B07357"/>
    <w:rsid w:val="00B0772F"/>
    <w:rsid w:val="00B10140"/>
    <w:rsid w:val="00B117C6"/>
    <w:rsid w:val="00B12216"/>
    <w:rsid w:val="00B127DC"/>
    <w:rsid w:val="00B133C4"/>
    <w:rsid w:val="00B13DFF"/>
    <w:rsid w:val="00B1458C"/>
    <w:rsid w:val="00B215F9"/>
    <w:rsid w:val="00B21B34"/>
    <w:rsid w:val="00B23644"/>
    <w:rsid w:val="00B25D75"/>
    <w:rsid w:val="00B25DB5"/>
    <w:rsid w:val="00B26CD5"/>
    <w:rsid w:val="00B301AB"/>
    <w:rsid w:val="00B34D7D"/>
    <w:rsid w:val="00B34F16"/>
    <w:rsid w:val="00B3542A"/>
    <w:rsid w:val="00B35D8E"/>
    <w:rsid w:val="00B36DC9"/>
    <w:rsid w:val="00B402E5"/>
    <w:rsid w:val="00B41AEF"/>
    <w:rsid w:val="00B41E48"/>
    <w:rsid w:val="00B4280B"/>
    <w:rsid w:val="00B4564A"/>
    <w:rsid w:val="00B45DA2"/>
    <w:rsid w:val="00B467CB"/>
    <w:rsid w:val="00B478FE"/>
    <w:rsid w:val="00B540C3"/>
    <w:rsid w:val="00B54FAB"/>
    <w:rsid w:val="00B5621D"/>
    <w:rsid w:val="00B62EA7"/>
    <w:rsid w:val="00B636B2"/>
    <w:rsid w:val="00B63F4B"/>
    <w:rsid w:val="00B659FE"/>
    <w:rsid w:val="00B733C2"/>
    <w:rsid w:val="00B738A1"/>
    <w:rsid w:val="00B75321"/>
    <w:rsid w:val="00B75665"/>
    <w:rsid w:val="00B809CD"/>
    <w:rsid w:val="00B80F77"/>
    <w:rsid w:val="00B81962"/>
    <w:rsid w:val="00B81B0F"/>
    <w:rsid w:val="00B826DA"/>
    <w:rsid w:val="00B82881"/>
    <w:rsid w:val="00B82A3E"/>
    <w:rsid w:val="00B83FE9"/>
    <w:rsid w:val="00B84823"/>
    <w:rsid w:val="00B853E5"/>
    <w:rsid w:val="00B856A9"/>
    <w:rsid w:val="00B865F9"/>
    <w:rsid w:val="00B87317"/>
    <w:rsid w:val="00B91279"/>
    <w:rsid w:val="00B91D02"/>
    <w:rsid w:val="00B929C6"/>
    <w:rsid w:val="00B95263"/>
    <w:rsid w:val="00B9534C"/>
    <w:rsid w:val="00B953CB"/>
    <w:rsid w:val="00B96641"/>
    <w:rsid w:val="00B97878"/>
    <w:rsid w:val="00BA2E15"/>
    <w:rsid w:val="00BA38E7"/>
    <w:rsid w:val="00BA4898"/>
    <w:rsid w:val="00BA5D4B"/>
    <w:rsid w:val="00BA5E50"/>
    <w:rsid w:val="00BA6CC9"/>
    <w:rsid w:val="00BA719D"/>
    <w:rsid w:val="00BA7D46"/>
    <w:rsid w:val="00BB090E"/>
    <w:rsid w:val="00BB1AC1"/>
    <w:rsid w:val="00BB20D7"/>
    <w:rsid w:val="00BB78B4"/>
    <w:rsid w:val="00BC1D80"/>
    <w:rsid w:val="00BC1EA5"/>
    <w:rsid w:val="00BC1F5B"/>
    <w:rsid w:val="00BC3915"/>
    <w:rsid w:val="00BC39BA"/>
    <w:rsid w:val="00BC560D"/>
    <w:rsid w:val="00BC5C52"/>
    <w:rsid w:val="00BC6E26"/>
    <w:rsid w:val="00BC72DB"/>
    <w:rsid w:val="00BD02E3"/>
    <w:rsid w:val="00BD076C"/>
    <w:rsid w:val="00BD4268"/>
    <w:rsid w:val="00BD5C71"/>
    <w:rsid w:val="00BD6966"/>
    <w:rsid w:val="00BE0066"/>
    <w:rsid w:val="00BE144B"/>
    <w:rsid w:val="00BE1D21"/>
    <w:rsid w:val="00BE316C"/>
    <w:rsid w:val="00BE4617"/>
    <w:rsid w:val="00BE56E6"/>
    <w:rsid w:val="00BF0B16"/>
    <w:rsid w:val="00BF1068"/>
    <w:rsid w:val="00BF2461"/>
    <w:rsid w:val="00BF27B6"/>
    <w:rsid w:val="00BF4632"/>
    <w:rsid w:val="00BF467A"/>
    <w:rsid w:val="00BF5A24"/>
    <w:rsid w:val="00C00BD1"/>
    <w:rsid w:val="00C00C48"/>
    <w:rsid w:val="00C100E2"/>
    <w:rsid w:val="00C10E75"/>
    <w:rsid w:val="00C119EF"/>
    <w:rsid w:val="00C11DE8"/>
    <w:rsid w:val="00C12947"/>
    <w:rsid w:val="00C135C4"/>
    <w:rsid w:val="00C13A99"/>
    <w:rsid w:val="00C150A0"/>
    <w:rsid w:val="00C1532D"/>
    <w:rsid w:val="00C20E42"/>
    <w:rsid w:val="00C21B8F"/>
    <w:rsid w:val="00C224F7"/>
    <w:rsid w:val="00C22A46"/>
    <w:rsid w:val="00C22F5A"/>
    <w:rsid w:val="00C237AC"/>
    <w:rsid w:val="00C2430B"/>
    <w:rsid w:val="00C26280"/>
    <w:rsid w:val="00C26707"/>
    <w:rsid w:val="00C3009A"/>
    <w:rsid w:val="00C306BF"/>
    <w:rsid w:val="00C34867"/>
    <w:rsid w:val="00C349EA"/>
    <w:rsid w:val="00C34B5A"/>
    <w:rsid w:val="00C358EC"/>
    <w:rsid w:val="00C3671E"/>
    <w:rsid w:val="00C3691B"/>
    <w:rsid w:val="00C410D2"/>
    <w:rsid w:val="00C414F9"/>
    <w:rsid w:val="00C421E1"/>
    <w:rsid w:val="00C42931"/>
    <w:rsid w:val="00C43B58"/>
    <w:rsid w:val="00C442A7"/>
    <w:rsid w:val="00C506B5"/>
    <w:rsid w:val="00C51FBF"/>
    <w:rsid w:val="00C53358"/>
    <w:rsid w:val="00C56208"/>
    <w:rsid w:val="00C61094"/>
    <w:rsid w:val="00C61725"/>
    <w:rsid w:val="00C62EBC"/>
    <w:rsid w:val="00C6389C"/>
    <w:rsid w:val="00C64FE4"/>
    <w:rsid w:val="00C65BF3"/>
    <w:rsid w:val="00C720E1"/>
    <w:rsid w:val="00C73F1F"/>
    <w:rsid w:val="00C74AB8"/>
    <w:rsid w:val="00C75272"/>
    <w:rsid w:val="00C75AF0"/>
    <w:rsid w:val="00C829AF"/>
    <w:rsid w:val="00C8416C"/>
    <w:rsid w:val="00C84694"/>
    <w:rsid w:val="00C852E5"/>
    <w:rsid w:val="00C8578D"/>
    <w:rsid w:val="00C8783B"/>
    <w:rsid w:val="00C8784A"/>
    <w:rsid w:val="00C90686"/>
    <w:rsid w:val="00C907FB"/>
    <w:rsid w:val="00C909E6"/>
    <w:rsid w:val="00C9286F"/>
    <w:rsid w:val="00C93313"/>
    <w:rsid w:val="00C9524B"/>
    <w:rsid w:val="00C964B8"/>
    <w:rsid w:val="00C978E3"/>
    <w:rsid w:val="00C97915"/>
    <w:rsid w:val="00C9798D"/>
    <w:rsid w:val="00C97BCD"/>
    <w:rsid w:val="00CA1ED9"/>
    <w:rsid w:val="00CA3128"/>
    <w:rsid w:val="00CA3EBF"/>
    <w:rsid w:val="00CA73C4"/>
    <w:rsid w:val="00CA75AC"/>
    <w:rsid w:val="00CA7A58"/>
    <w:rsid w:val="00CB0E24"/>
    <w:rsid w:val="00CB1DD2"/>
    <w:rsid w:val="00CB2297"/>
    <w:rsid w:val="00CB2CA6"/>
    <w:rsid w:val="00CB57CE"/>
    <w:rsid w:val="00CB6194"/>
    <w:rsid w:val="00CB737A"/>
    <w:rsid w:val="00CC2381"/>
    <w:rsid w:val="00CC3070"/>
    <w:rsid w:val="00CC3622"/>
    <w:rsid w:val="00CC601D"/>
    <w:rsid w:val="00CC6107"/>
    <w:rsid w:val="00CC67A0"/>
    <w:rsid w:val="00CC7146"/>
    <w:rsid w:val="00CC718D"/>
    <w:rsid w:val="00CD3332"/>
    <w:rsid w:val="00CD5E31"/>
    <w:rsid w:val="00CD71E8"/>
    <w:rsid w:val="00CE0A32"/>
    <w:rsid w:val="00CE1850"/>
    <w:rsid w:val="00CE2F02"/>
    <w:rsid w:val="00CE30B1"/>
    <w:rsid w:val="00CE3649"/>
    <w:rsid w:val="00CE49A8"/>
    <w:rsid w:val="00CE4F73"/>
    <w:rsid w:val="00CE5A5A"/>
    <w:rsid w:val="00CE5BDF"/>
    <w:rsid w:val="00CE5D9E"/>
    <w:rsid w:val="00CE7ECA"/>
    <w:rsid w:val="00CF06D9"/>
    <w:rsid w:val="00CF1155"/>
    <w:rsid w:val="00CF12A6"/>
    <w:rsid w:val="00CF197F"/>
    <w:rsid w:val="00CF1EB2"/>
    <w:rsid w:val="00CF3BDE"/>
    <w:rsid w:val="00CF4158"/>
    <w:rsid w:val="00CF512A"/>
    <w:rsid w:val="00CF5DB9"/>
    <w:rsid w:val="00CF6CA9"/>
    <w:rsid w:val="00CF7C56"/>
    <w:rsid w:val="00D00149"/>
    <w:rsid w:val="00D00B06"/>
    <w:rsid w:val="00D00DE5"/>
    <w:rsid w:val="00D0175D"/>
    <w:rsid w:val="00D02330"/>
    <w:rsid w:val="00D032D8"/>
    <w:rsid w:val="00D03BE6"/>
    <w:rsid w:val="00D03C48"/>
    <w:rsid w:val="00D049F1"/>
    <w:rsid w:val="00D04E41"/>
    <w:rsid w:val="00D0512E"/>
    <w:rsid w:val="00D06398"/>
    <w:rsid w:val="00D1000B"/>
    <w:rsid w:val="00D12378"/>
    <w:rsid w:val="00D13DCE"/>
    <w:rsid w:val="00D14CCB"/>
    <w:rsid w:val="00D15510"/>
    <w:rsid w:val="00D16345"/>
    <w:rsid w:val="00D16E3D"/>
    <w:rsid w:val="00D176A2"/>
    <w:rsid w:val="00D20075"/>
    <w:rsid w:val="00D20879"/>
    <w:rsid w:val="00D23AFB"/>
    <w:rsid w:val="00D24C05"/>
    <w:rsid w:val="00D25DE3"/>
    <w:rsid w:val="00D261F1"/>
    <w:rsid w:val="00D315C0"/>
    <w:rsid w:val="00D31AD4"/>
    <w:rsid w:val="00D34B6A"/>
    <w:rsid w:val="00D34C37"/>
    <w:rsid w:val="00D34E39"/>
    <w:rsid w:val="00D3534C"/>
    <w:rsid w:val="00D354F4"/>
    <w:rsid w:val="00D3552A"/>
    <w:rsid w:val="00D4002E"/>
    <w:rsid w:val="00D40CEC"/>
    <w:rsid w:val="00D41738"/>
    <w:rsid w:val="00D433B3"/>
    <w:rsid w:val="00D443CC"/>
    <w:rsid w:val="00D46341"/>
    <w:rsid w:val="00D46894"/>
    <w:rsid w:val="00D507F4"/>
    <w:rsid w:val="00D50B55"/>
    <w:rsid w:val="00D52BE8"/>
    <w:rsid w:val="00D52FA4"/>
    <w:rsid w:val="00D53351"/>
    <w:rsid w:val="00D55C10"/>
    <w:rsid w:val="00D579A2"/>
    <w:rsid w:val="00D600B3"/>
    <w:rsid w:val="00D615D6"/>
    <w:rsid w:val="00D623ED"/>
    <w:rsid w:val="00D645C0"/>
    <w:rsid w:val="00D64B41"/>
    <w:rsid w:val="00D65C8F"/>
    <w:rsid w:val="00D70F31"/>
    <w:rsid w:val="00D71D7F"/>
    <w:rsid w:val="00D73B09"/>
    <w:rsid w:val="00D75C7C"/>
    <w:rsid w:val="00D761F0"/>
    <w:rsid w:val="00D76A57"/>
    <w:rsid w:val="00D772DE"/>
    <w:rsid w:val="00D77AEE"/>
    <w:rsid w:val="00D80672"/>
    <w:rsid w:val="00D8098F"/>
    <w:rsid w:val="00D83805"/>
    <w:rsid w:val="00D84C97"/>
    <w:rsid w:val="00D90496"/>
    <w:rsid w:val="00D914A6"/>
    <w:rsid w:val="00D92C31"/>
    <w:rsid w:val="00D92FC9"/>
    <w:rsid w:val="00D9330F"/>
    <w:rsid w:val="00D944E2"/>
    <w:rsid w:val="00D950F2"/>
    <w:rsid w:val="00D95B7C"/>
    <w:rsid w:val="00D96EFA"/>
    <w:rsid w:val="00D97DF7"/>
    <w:rsid w:val="00DA03D7"/>
    <w:rsid w:val="00DA0BB4"/>
    <w:rsid w:val="00DA1351"/>
    <w:rsid w:val="00DA1387"/>
    <w:rsid w:val="00DA198B"/>
    <w:rsid w:val="00DA1AF4"/>
    <w:rsid w:val="00DA1BB3"/>
    <w:rsid w:val="00DA2C18"/>
    <w:rsid w:val="00DA2D5C"/>
    <w:rsid w:val="00DA4E23"/>
    <w:rsid w:val="00DA63B8"/>
    <w:rsid w:val="00DA6860"/>
    <w:rsid w:val="00DA775A"/>
    <w:rsid w:val="00DA7E7E"/>
    <w:rsid w:val="00DB0858"/>
    <w:rsid w:val="00DB14BB"/>
    <w:rsid w:val="00DB14D1"/>
    <w:rsid w:val="00DB26F2"/>
    <w:rsid w:val="00DB5C83"/>
    <w:rsid w:val="00DB5F70"/>
    <w:rsid w:val="00DB60F3"/>
    <w:rsid w:val="00DB7E76"/>
    <w:rsid w:val="00DC0D46"/>
    <w:rsid w:val="00DC1ACB"/>
    <w:rsid w:val="00DC2175"/>
    <w:rsid w:val="00DC2510"/>
    <w:rsid w:val="00DC32C4"/>
    <w:rsid w:val="00DC3911"/>
    <w:rsid w:val="00DC39C3"/>
    <w:rsid w:val="00DC4F5D"/>
    <w:rsid w:val="00DC59C1"/>
    <w:rsid w:val="00DC6B8A"/>
    <w:rsid w:val="00DC775F"/>
    <w:rsid w:val="00DC7921"/>
    <w:rsid w:val="00DD103B"/>
    <w:rsid w:val="00DD32AF"/>
    <w:rsid w:val="00DD4F69"/>
    <w:rsid w:val="00DD5E9A"/>
    <w:rsid w:val="00DD6EE9"/>
    <w:rsid w:val="00DE2872"/>
    <w:rsid w:val="00DE49FC"/>
    <w:rsid w:val="00DE5DD6"/>
    <w:rsid w:val="00DE68AD"/>
    <w:rsid w:val="00DE7564"/>
    <w:rsid w:val="00DF15FA"/>
    <w:rsid w:val="00DF16AB"/>
    <w:rsid w:val="00DF19D5"/>
    <w:rsid w:val="00DF1A72"/>
    <w:rsid w:val="00DF2F5C"/>
    <w:rsid w:val="00DF3530"/>
    <w:rsid w:val="00DF558F"/>
    <w:rsid w:val="00DF55B1"/>
    <w:rsid w:val="00DF6D2A"/>
    <w:rsid w:val="00DF7B8A"/>
    <w:rsid w:val="00E0238B"/>
    <w:rsid w:val="00E034C8"/>
    <w:rsid w:val="00E04301"/>
    <w:rsid w:val="00E05D1C"/>
    <w:rsid w:val="00E06D2A"/>
    <w:rsid w:val="00E06DE8"/>
    <w:rsid w:val="00E075C9"/>
    <w:rsid w:val="00E100E3"/>
    <w:rsid w:val="00E10A80"/>
    <w:rsid w:val="00E1169E"/>
    <w:rsid w:val="00E119A2"/>
    <w:rsid w:val="00E12DE5"/>
    <w:rsid w:val="00E13BC7"/>
    <w:rsid w:val="00E1438C"/>
    <w:rsid w:val="00E16FDA"/>
    <w:rsid w:val="00E20573"/>
    <w:rsid w:val="00E20A47"/>
    <w:rsid w:val="00E22667"/>
    <w:rsid w:val="00E2309E"/>
    <w:rsid w:val="00E23B0B"/>
    <w:rsid w:val="00E23C4C"/>
    <w:rsid w:val="00E3316F"/>
    <w:rsid w:val="00E35197"/>
    <w:rsid w:val="00E35399"/>
    <w:rsid w:val="00E3629C"/>
    <w:rsid w:val="00E37429"/>
    <w:rsid w:val="00E37CB1"/>
    <w:rsid w:val="00E37EBB"/>
    <w:rsid w:val="00E41A39"/>
    <w:rsid w:val="00E439DF"/>
    <w:rsid w:val="00E44356"/>
    <w:rsid w:val="00E44DE9"/>
    <w:rsid w:val="00E45F44"/>
    <w:rsid w:val="00E464F5"/>
    <w:rsid w:val="00E51231"/>
    <w:rsid w:val="00E512B9"/>
    <w:rsid w:val="00E51F59"/>
    <w:rsid w:val="00E52E54"/>
    <w:rsid w:val="00E57433"/>
    <w:rsid w:val="00E60692"/>
    <w:rsid w:val="00E61BB3"/>
    <w:rsid w:val="00E639CA"/>
    <w:rsid w:val="00E63B7F"/>
    <w:rsid w:val="00E651B5"/>
    <w:rsid w:val="00E6546D"/>
    <w:rsid w:val="00E66CEB"/>
    <w:rsid w:val="00E679C5"/>
    <w:rsid w:val="00E67C7F"/>
    <w:rsid w:val="00E706BC"/>
    <w:rsid w:val="00E7154B"/>
    <w:rsid w:val="00E7336B"/>
    <w:rsid w:val="00E73BA7"/>
    <w:rsid w:val="00E751DA"/>
    <w:rsid w:val="00E80FB5"/>
    <w:rsid w:val="00E81167"/>
    <w:rsid w:val="00E829A1"/>
    <w:rsid w:val="00E839B5"/>
    <w:rsid w:val="00E85D20"/>
    <w:rsid w:val="00E86942"/>
    <w:rsid w:val="00E90521"/>
    <w:rsid w:val="00E9096A"/>
    <w:rsid w:val="00E92BD2"/>
    <w:rsid w:val="00E93428"/>
    <w:rsid w:val="00E93C5B"/>
    <w:rsid w:val="00E94D01"/>
    <w:rsid w:val="00E955BC"/>
    <w:rsid w:val="00EA02BE"/>
    <w:rsid w:val="00EA1AA6"/>
    <w:rsid w:val="00EA42EC"/>
    <w:rsid w:val="00EA5646"/>
    <w:rsid w:val="00EA5D5C"/>
    <w:rsid w:val="00EA7A93"/>
    <w:rsid w:val="00EB1F10"/>
    <w:rsid w:val="00EB2242"/>
    <w:rsid w:val="00EB2A50"/>
    <w:rsid w:val="00EB37C3"/>
    <w:rsid w:val="00EB3F04"/>
    <w:rsid w:val="00EB7515"/>
    <w:rsid w:val="00EC0740"/>
    <w:rsid w:val="00EC2738"/>
    <w:rsid w:val="00EC3092"/>
    <w:rsid w:val="00EC45E5"/>
    <w:rsid w:val="00EC4C1B"/>
    <w:rsid w:val="00EC4EE9"/>
    <w:rsid w:val="00EC5321"/>
    <w:rsid w:val="00EC5715"/>
    <w:rsid w:val="00EC6583"/>
    <w:rsid w:val="00EC6657"/>
    <w:rsid w:val="00EC6897"/>
    <w:rsid w:val="00EC6B9A"/>
    <w:rsid w:val="00ED1C74"/>
    <w:rsid w:val="00ED4FF9"/>
    <w:rsid w:val="00ED514D"/>
    <w:rsid w:val="00ED6154"/>
    <w:rsid w:val="00ED7CAE"/>
    <w:rsid w:val="00EE04E8"/>
    <w:rsid w:val="00EE0DCE"/>
    <w:rsid w:val="00EE0FCE"/>
    <w:rsid w:val="00EE1FEC"/>
    <w:rsid w:val="00EE286D"/>
    <w:rsid w:val="00EE35C1"/>
    <w:rsid w:val="00EE3A55"/>
    <w:rsid w:val="00EE3C85"/>
    <w:rsid w:val="00EE5A55"/>
    <w:rsid w:val="00EE6477"/>
    <w:rsid w:val="00EE6555"/>
    <w:rsid w:val="00EF0449"/>
    <w:rsid w:val="00EF0E54"/>
    <w:rsid w:val="00EF2D7C"/>
    <w:rsid w:val="00EF3D53"/>
    <w:rsid w:val="00EF5EB2"/>
    <w:rsid w:val="00EF623F"/>
    <w:rsid w:val="00F0018D"/>
    <w:rsid w:val="00F02945"/>
    <w:rsid w:val="00F02CC2"/>
    <w:rsid w:val="00F02F82"/>
    <w:rsid w:val="00F02FB9"/>
    <w:rsid w:val="00F0463B"/>
    <w:rsid w:val="00F04785"/>
    <w:rsid w:val="00F04914"/>
    <w:rsid w:val="00F05490"/>
    <w:rsid w:val="00F054A4"/>
    <w:rsid w:val="00F058AC"/>
    <w:rsid w:val="00F06CBB"/>
    <w:rsid w:val="00F06E4E"/>
    <w:rsid w:val="00F11D60"/>
    <w:rsid w:val="00F13877"/>
    <w:rsid w:val="00F1651B"/>
    <w:rsid w:val="00F16792"/>
    <w:rsid w:val="00F1740C"/>
    <w:rsid w:val="00F17583"/>
    <w:rsid w:val="00F203DC"/>
    <w:rsid w:val="00F2284D"/>
    <w:rsid w:val="00F22F32"/>
    <w:rsid w:val="00F23292"/>
    <w:rsid w:val="00F2373C"/>
    <w:rsid w:val="00F2523B"/>
    <w:rsid w:val="00F27D2C"/>
    <w:rsid w:val="00F27F07"/>
    <w:rsid w:val="00F30AAA"/>
    <w:rsid w:val="00F32BC2"/>
    <w:rsid w:val="00F33E38"/>
    <w:rsid w:val="00F3645E"/>
    <w:rsid w:val="00F36FB3"/>
    <w:rsid w:val="00F37420"/>
    <w:rsid w:val="00F4020C"/>
    <w:rsid w:val="00F41AC2"/>
    <w:rsid w:val="00F43605"/>
    <w:rsid w:val="00F4597E"/>
    <w:rsid w:val="00F45C6C"/>
    <w:rsid w:val="00F473C7"/>
    <w:rsid w:val="00F50090"/>
    <w:rsid w:val="00F50765"/>
    <w:rsid w:val="00F5113B"/>
    <w:rsid w:val="00F52E1F"/>
    <w:rsid w:val="00F52EA0"/>
    <w:rsid w:val="00F53299"/>
    <w:rsid w:val="00F550E7"/>
    <w:rsid w:val="00F56A40"/>
    <w:rsid w:val="00F56C1B"/>
    <w:rsid w:val="00F600EB"/>
    <w:rsid w:val="00F603C2"/>
    <w:rsid w:val="00F60D53"/>
    <w:rsid w:val="00F616A4"/>
    <w:rsid w:val="00F6186B"/>
    <w:rsid w:val="00F6275D"/>
    <w:rsid w:val="00F64279"/>
    <w:rsid w:val="00F65597"/>
    <w:rsid w:val="00F66111"/>
    <w:rsid w:val="00F66117"/>
    <w:rsid w:val="00F67F6B"/>
    <w:rsid w:val="00F7348C"/>
    <w:rsid w:val="00F74418"/>
    <w:rsid w:val="00F75963"/>
    <w:rsid w:val="00F76EC6"/>
    <w:rsid w:val="00F77676"/>
    <w:rsid w:val="00F800DC"/>
    <w:rsid w:val="00F804F1"/>
    <w:rsid w:val="00F824D0"/>
    <w:rsid w:val="00F82BBF"/>
    <w:rsid w:val="00F82CA5"/>
    <w:rsid w:val="00F832CC"/>
    <w:rsid w:val="00F835EF"/>
    <w:rsid w:val="00F8599C"/>
    <w:rsid w:val="00F8691B"/>
    <w:rsid w:val="00F86D98"/>
    <w:rsid w:val="00F872BE"/>
    <w:rsid w:val="00F875FB"/>
    <w:rsid w:val="00F90798"/>
    <w:rsid w:val="00F92930"/>
    <w:rsid w:val="00F929E7"/>
    <w:rsid w:val="00F94FA1"/>
    <w:rsid w:val="00F95259"/>
    <w:rsid w:val="00F96EDF"/>
    <w:rsid w:val="00FA1172"/>
    <w:rsid w:val="00FA2117"/>
    <w:rsid w:val="00FA3994"/>
    <w:rsid w:val="00FA3F96"/>
    <w:rsid w:val="00FA4641"/>
    <w:rsid w:val="00FA66EA"/>
    <w:rsid w:val="00FA6745"/>
    <w:rsid w:val="00FA6DD7"/>
    <w:rsid w:val="00FA749C"/>
    <w:rsid w:val="00FA7F63"/>
    <w:rsid w:val="00FB3CCE"/>
    <w:rsid w:val="00FB47BD"/>
    <w:rsid w:val="00FB6FF4"/>
    <w:rsid w:val="00FC109B"/>
    <w:rsid w:val="00FC26F6"/>
    <w:rsid w:val="00FC46E6"/>
    <w:rsid w:val="00FC4DA0"/>
    <w:rsid w:val="00FC5C7D"/>
    <w:rsid w:val="00FC682F"/>
    <w:rsid w:val="00FD0834"/>
    <w:rsid w:val="00FD0B55"/>
    <w:rsid w:val="00FD0ECB"/>
    <w:rsid w:val="00FD109B"/>
    <w:rsid w:val="00FD1BF5"/>
    <w:rsid w:val="00FD22A0"/>
    <w:rsid w:val="00FD30AF"/>
    <w:rsid w:val="00FD3E98"/>
    <w:rsid w:val="00FD4DB7"/>
    <w:rsid w:val="00FD4FBC"/>
    <w:rsid w:val="00FD76EE"/>
    <w:rsid w:val="00FE0059"/>
    <w:rsid w:val="00FE095E"/>
    <w:rsid w:val="00FE2806"/>
    <w:rsid w:val="00FE3019"/>
    <w:rsid w:val="00FE30B7"/>
    <w:rsid w:val="00FE337F"/>
    <w:rsid w:val="00FE4DB8"/>
    <w:rsid w:val="00FE5ADA"/>
    <w:rsid w:val="00FE5D04"/>
    <w:rsid w:val="00FE76A7"/>
    <w:rsid w:val="00FE7B5C"/>
    <w:rsid w:val="00FF00A5"/>
    <w:rsid w:val="00FF00D3"/>
    <w:rsid w:val="00FF1968"/>
    <w:rsid w:val="00FF29F5"/>
    <w:rsid w:val="00FF3525"/>
    <w:rsid w:val="00FF36AD"/>
    <w:rsid w:val="00FF47B4"/>
    <w:rsid w:val="00FF6CA3"/>
    <w:rsid w:val="00FF73BF"/>
    <w:rsid w:val="00FF7E0A"/>
    <w:rsid w:val="01281A93"/>
    <w:rsid w:val="020B46BF"/>
    <w:rsid w:val="0222795D"/>
    <w:rsid w:val="0273086B"/>
    <w:rsid w:val="028E0AA1"/>
    <w:rsid w:val="029141C2"/>
    <w:rsid w:val="02B33080"/>
    <w:rsid w:val="032163EA"/>
    <w:rsid w:val="03516C2A"/>
    <w:rsid w:val="03985C7D"/>
    <w:rsid w:val="039A405D"/>
    <w:rsid w:val="03D72DE7"/>
    <w:rsid w:val="040454EB"/>
    <w:rsid w:val="04A67754"/>
    <w:rsid w:val="04AC677B"/>
    <w:rsid w:val="05117D9A"/>
    <w:rsid w:val="05BC5024"/>
    <w:rsid w:val="06511F26"/>
    <w:rsid w:val="0659602B"/>
    <w:rsid w:val="065E40FE"/>
    <w:rsid w:val="068124F2"/>
    <w:rsid w:val="06C84886"/>
    <w:rsid w:val="071120FE"/>
    <w:rsid w:val="071976CC"/>
    <w:rsid w:val="072320E9"/>
    <w:rsid w:val="073D5F2E"/>
    <w:rsid w:val="074E0EA7"/>
    <w:rsid w:val="075B296C"/>
    <w:rsid w:val="07E256A3"/>
    <w:rsid w:val="080028EE"/>
    <w:rsid w:val="08F12CDA"/>
    <w:rsid w:val="08FA6E76"/>
    <w:rsid w:val="08FD0388"/>
    <w:rsid w:val="090A7568"/>
    <w:rsid w:val="09630D8D"/>
    <w:rsid w:val="099E25E0"/>
    <w:rsid w:val="09C71513"/>
    <w:rsid w:val="09D300D1"/>
    <w:rsid w:val="09F64ACD"/>
    <w:rsid w:val="0A0E6A17"/>
    <w:rsid w:val="0AD53A33"/>
    <w:rsid w:val="0B1F0AE3"/>
    <w:rsid w:val="0B6005C7"/>
    <w:rsid w:val="0D340637"/>
    <w:rsid w:val="0D6C7761"/>
    <w:rsid w:val="0D7B6C02"/>
    <w:rsid w:val="0D913AE5"/>
    <w:rsid w:val="0D9319BD"/>
    <w:rsid w:val="0D977DE2"/>
    <w:rsid w:val="0DA3144D"/>
    <w:rsid w:val="0DD939F3"/>
    <w:rsid w:val="0F166866"/>
    <w:rsid w:val="0F3C2A72"/>
    <w:rsid w:val="0FB466B0"/>
    <w:rsid w:val="106C5ADB"/>
    <w:rsid w:val="10E70A20"/>
    <w:rsid w:val="11001623"/>
    <w:rsid w:val="115A4163"/>
    <w:rsid w:val="11703FEC"/>
    <w:rsid w:val="11B06CBB"/>
    <w:rsid w:val="11BE6006"/>
    <w:rsid w:val="11C055F3"/>
    <w:rsid w:val="11E015B7"/>
    <w:rsid w:val="124817A9"/>
    <w:rsid w:val="1250401C"/>
    <w:rsid w:val="12774837"/>
    <w:rsid w:val="132027DA"/>
    <w:rsid w:val="132035A6"/>
    <w:rsid w:val="139C688E"/>
    <w:rsid w:val="14093979"/>
    <w:rsid w:val="14B552DF"/>
    <w:rsid w:val="14DA3DA4"/>
    <w:rsid w:val="15023D8B"/>
    <w:rsid w:val="152F2F86"/>
    <w:rsid w:val="159E1E08"/>
    <w:rsid w:val="15EC01E2"/>
    <w:rsid w:val="15FC56FF"/>
    <w:rsid w:val="163160C9"/>
    <w:rsid w:val="1665193B"/>
    <w:rsid w:val="16AB35C7"/>
    <w:rsid w:val="16E24139"/>
    <w:rsid w:val="16EF4A09"/>
    <w:rsid w:val="170F0C33"/>
    <w:rsid w:val="17D63196"/>
    <w:rsid w:val="18772CE1"/>
    <w:rsid w:val="18F14A93"/>
    <w:rsid w:val="19537910"/>
    <w:rsid w:val="195D0011"/>
    <w:rsid w:val="1978518A"/>
    <w:rsid w:val="19D03979"/>
    <w:rsid w:val="19E8702F"/>
    <w:rsid w:val="1A6E1B33"/>
    <w:rsid w:val="1A7729AC"/>
    <w:rsid w:val="1B0670DB"/>
    <w:rsid w:val="1B44566F"/>
    <w:rsid w:val="1B5B21F6"/>
    <w:rsid w:val="1C3B44E8"/>
    <w:rsid w:val="1C636264"/>
    <w:rsid w:val="1CE148AE"/>
    <w:rsid w:val="1D0F329E"/>
    <w:rsid w:val="1D157D7A"/>
    <w:rsid w:val="1D753660"/>
    <w:rsid w:val="1D78034B"/>
    <w:rsid w:val="1E176CBC"/>
    <w:rsid w:val="1E304335"/>
    <w:rsid w:val="1EF37353"/>
    <w:rsid w:val="1EF45E44"/>
    <w:rsid w:val="1F003346"/>
    <w:rsid w:val="1F2C732E"/>
    <w:rsid w:val="1F755F1E"/>
    <w:rsid w:val="1F991688"/>
    <w:rsid w:val="1FAA075C"/>
    <w:rsid w:val="1FE87E2B"/>
    <w:rsid w:val="1FEB2506"/>
    <w:rsid w:val="212B3D6F"/>
    <w:rsid w:val="21964DFD"/>
    <w:rsid w:val="21CC24BA"/>
    <w:rsid w:val="223A14EF"/>
    <w:rsid w:val="223D4F54"/>
    <w:rsid w:val="229B446B"/>
    <w:rsid w:val="22F81661"/>
    <w:rsid w:val="231D36AD"/>
    <w:rsid w:val="23C66316"/>
    <w:rsid w:val="23D10A39"/>
    <w:rsid w:val="23F7482D"/>
    <w:rsid w:val="247513A1"/>
    <w:rsid w:val="24FC7F7D"/>
    <w:rsid w:val="25344C05"/>
    <w:rsid w:val="26127BBD"/>
    <w:rsid w:val="264C5613"/>
    <w:rsid w:val="26CB4532"/>
    <w:rsid w:val="270E6E13"/>
    <w:rsid w:val="271238F2"/>
    <w:rsid w:val="27394EB2"/>
    <w:rsid w:val="276337E6"/>
    <w:rsid w:val="2786289E"/>
    <w:rsid w:val="27A326C3"/>
    <w:rsid w:val="27B02A42"/>
    <w:rsid w:val="27F72649"/>
    <w:rsid w:val="27FC383E"/>
    <w:rsid w:val="281E70EA"/>
    <w:rsid w:val="283E00B2"/>
    <w:rsid w:val="28711AB3"/>
    <w:rsid w:val="288C5F0F"/>
    <w:rsid w:val="290F13E3"/>
    <w:rsid w:val="29732D2A"/>
    <w:rsid w:val="29EE0CC6"/>
    <w:rsid w:val="2A8F5E14"/>
    <w:rsid w:val="2A95037E"/>
    <w:rsid w:val="2BDC13E8"/>
    <w:rsid w:val="2BE85F84"/>
    <w:rsid w:val="2C26467B"/>
    <w:rsid w:val="2C2D58F3"/>
    <w:rsid w:val="2CFE4A5A"/>
    <w:rsid w:val="2D022222"/>
    <w:rsid w:val="2D1B3A39"/>
    <w:rsid w:val="2DF02662"/>
    <w:rsid w:val="2DF44523"/>
    <w:rsid w:val="2E6528ED"/>
    <w:rsid w:val="2E9928E0"/>
    <w:rsid w:val="2EBE6008"/>
    <w:rsid w:val="2F9E1B21"/>
    <w:rsid w:val="2FC9631E"/>
    <w:rsid w:val="2FD7696A"/>
    <w:rsid w:val="30070A6F"/>
    <w:rsid w:val="30221678"/>
    <w:rsid w:val="30FF03BF"/>
    <w:rsid w:val="31235A1F"/>
    <w:rsid w:val="329F77D3"/>
    <w:rsid w:val="32D71C99"/>
    <w:rsid w:val="32FC5E04"/>
    <w:rsid w:val="33972CFB"/>
    <w:rsid w:val="339F21F8"/>
    <w:rsid w:val="33D24927"/>
    <w:rsid w:val="343121E7"/>
    <w:rsid w:val="34820AFC"/>
    <w:rsid w:val="34BF27F4"/>
    <w:rsid w:val="35132752"/>
    <w:rsid w:val="35201AB6"/>
    <w:rsid w:val="35AD5E3E"/>
    <w:rsid w:val="35BE500F"/>
    <w:rsid w:val="363137A3"/>
    <w:rsid w:val="373C7CDF"/>
    <w:rsid w:val="374F43C0"/>
    <w:rsid w:val="37812742"/>
    <w:rsid w:val="37BE7040"/>
    <w:rsid w:val="37DF47F8"/>
    <w:rsid w:val="37E84BA1"/>
    <w:rsid w:val="37EB5206"/>
    <w:rsid w:val="37F9658B"/>
    <w:rsid w:val="381465C5"/>
    <w:rsid w:val="38311750"/>
    <w:rsid w:val="38844D80"/>
    <w:rsid w:val="38C822EE"/>
    <w:rsid w:val="38E9635A"/>
    <w:rsid w:val="39477140"/>
    <w:rsid w:val="395F1CD5"/>
    <w:rsid w:val="396F7BFA"/>
    <w:rsid w:val="39A4566F"/>
    <w:rsid w:val="3A04531E"/>
    <w:rsid w:val="3A1F7582"/>
    <w:rsid w:val="3A4017F0"/>
    <w:rsid w:val="3AAD25C6"/>
    <w:rsid w:val="3B331C7A"/>
    <w:rsid w:val="3BCD4780"/>
    <w:rsid w:val="3C094A13"/>
    <w:rsid w:val="3C3D2D39"/>
    <w:rsid w:val="3C6F7865"/>
    <w:rsid w:val="3C903859"/>
    <w:rsid w:val="3D3B12DA"/>
    <w:rsid w:val="3D593E8C"/>
    <w:rsid w:val="3D9B5A4B"/>
    <w:rsid w:val="3DAF1262"/>
    <w:rsid w:val="3DDB5B51"/>
    <w:rsid w:val="3EA9145A"/>
    <w:rsid w:val="3EAC767E"/>
    <w:rsid w:val="3F461170"/>
    <w:rsid w:val="3F4C4B1C"/>
    <w:rsid w:val="3F650A3B"/>
    <w:rsid w:val="4039719F"/>
    <w:rsid w:val="40BF70B8"/>
    <w:rsid w:val="40FE18D7"/>
    <w:rsid w:val="41A20B0A"/>
    <w:rsid w:val="42045657"/>
    <w:rsid w:val="420D510B"/>
    <w:rsid w:val="4264089E"/>
    <w:rsid w:val="42834427"/>
    <w:rsid w:val="42843ACD"/>
    <w:rsid w:val="42A61B46"/>
    <w:rsid w:val="42E151EF"/>
    <w:rsid w:val="42EA134D"/>
    <w:rsid w:val="42ED4FE4"/>
    <w:rsid w:val="42F10D9F"/>
    <w:rsid w:val="43286EF3"/>
    <w:rsid w:val="43312BF2"/>
    <w:rsid w:val="43E809AA"/>
    <w:rsid w:val="44272477"/>
    <w:rsid w:val="44517768"/>
    <w:rsid w:val="446532AB"/>
    <w:rsid w:val="446E5745"/>
    <w:rsid w:val="44843505"/>
    <w:rsid w:val="44A3472A"/>
    <w:rsid w:val="44A866F5"/>
    <w:rsid w:val="45582138"/>
    <w:rsid w:val="45762675"/>
    <w:rsid w:val="46011A2D"/>
    <w:rsid w:val="47FF0228"/>
    <w:rsid w:val="480E2214"/>
    <w:rsid w:val="486F7755"/>
    <w:rsid w:val="48B81E35"/>
    <w:rsid w:val="4936101B"/>
    <w:rsid w:val="49616768"/>
    <w:rsid w:val="4988591D"/>
    <w:rsid w:val="49963557"/>
    <w:rsid w:val="49D46F8E"/>
    <w:rsid w:val="4A20189A"/>
    <w:rsid w:val="4A444F0A"/>
    <w:rsid w:val="4A62547D"/>
    <w:rsid w:val="4A7502B5"/>
    <w:rsid w:val="4AAC4E1B"/>
    <w:rsid w:val="4BFD4F0A"/>
    <w:rsid w:val="4C151BBB"/>
    <w:rsid w:val="4C5D5041"/>
    <w:rsid w:val="4CDB6D47"/>
    <w:rsid w:val="4DC2042B"/>
    <w:rsid w:val="4DC35B9D"/>
    <w:rsid w:val="4DE571DC"/>
    <w:rsid w:val="4DE91FFC"/>
    <w:rsid w:val="4E1F599D"/>
    <w:rsid w:val="4E3E2DF6"/>
    <w:rsid w:val="4EA10878"/>
    <w:rsid w:val="4EB926C5"/>
    <w:rsid w:val="4ED01871"/>
    <w:rsid w:val="4F48084F"/>
    <w:rsid w:val="4F755271"/>
    <w:rsid w:val="4FBE7BEA"/>
    <w:rsid w:val="500E646C"/>
    <w:rsid w:val="501B374D"/>
    <w:rsid w:val="50A84646"/>
    <w:rsid w:val="50FD3157"/>
    <w:rsid w:val="51616F46"/>
    <w:rsid w:val="51F742BB"/>
    <w:rsid w:val="521B2A4E"/>
    <w:rsid w:val="52631353"/>
    <w:rsid w:val="53140263"/>
    <w:rsid w:val="5317405E"/>
    <w:rsid w:val="53830D53"/>
    <w:rsid w:val="53E93575"/>
    <w:rsid w:val="546569C2"/>
    <w:rsid w:val="548941A4"/>
    <w:rsid w:val="54A43ADE"/>
    <w:rsid w:val="54FB435F"/>
    <w:rsid w:val="560F5C82"/>
    <w:rsid w:val="575A6E7A"/>
    <w:rsid w:val="57775755"/>
    <w:rsid w:val="57855FC0"/>
    <w:rsid w:val="57E03217"/>
    <w:rsid w:val="58127620"/>
    <w:rsid w:val="58192794"/>
    <w:rsid w:val="58491074"/>
    <w:rsid w:val="585806CB"/>
    <w:rsid w:val="592F1800"/>
    <w:rsid w:val="59395EF6"/>
    <w:rsid w:val="59893102"/>
    <w:rsid w:val="598A1FC2"/>
    <w:rsid w:val="598D27E9"/>
    <w:rsid w:val="59E648CF"/>
    <w:rsid w:val="59F37986"/>
    <w:rsid w:val="5A430686"/>
    <w:rsid w:val="5A5B16F2"/>
    <w:rsid w:val="5AC620C1"/>
    <w:rsid w:val="5AEE6F2B"/>
    <w:rsid w:val="5B4F2CD5"/>
    <w:rsid w:val="5B9864B6"/>
    <w:rsid w:val="5C3857DC"/>
    <w:rsid w:val="5C491C0A"/>
    <w:rsid w:val="5C5C0F22"/>
    <w:rsid w:val="5C603089"/>
    <w:rsid w:val="5C683E65"/>
    <w:rsid w:val="5DA43C51"/>
    <w:rsid w:val="5DBE50FD"/>
    <w:rsid w:val="5DCB066D"/>
    <w:rsid w:val="5E52066F"/>
    <w:rsid w:val="5F766405"/>
    <w:rsid w:val="5F8B10A0"/>
    <w:rsid w:val="5F8F47E3"/>
    <w:rsid w:val="5FC61841"/>
    <w:rsid w:val="5FF71757"/>
    <w:rsid w:val="60130EEF"/>
    <w:rsid w:val="603B56D3"/>
    <w:rsid w:val="60A560C3"/>
    <w:rsid w:val="60AC4696"/>
    <w:rsid w:val="613715C7"/>
    <w:rsid w:val="618229A5"/>
    <w:rsid w:val="618817A0"/>
    <w:rsid w:val="61D07E40"/>
    <w:rsid w:val="61DF1F54"/>
    <w:rsid w:val="626A3A22"/>
    <w:rsid w:val="631034D8"/>
    <w:rsid w:val="636D6E1E"/>
    <w:rsid w:val="63E00724"/>
    <w:rsid w:val="640252AD"/>
    <w:rsid w:val="642F7315"/>
    <w:rsid w:val="6478698A"/>
    <w:rsid w:val="64DE0161"/>
    <w:rsid w:val="65057E26"/>
    <w:rsid w:val="654710AE"/>
    <w:rsid w:val="65B00BC4"/>
    <w:rsid w:val="65FF1857"/>
    <w:rsid w:val="66681F2F"/>
    <w:rsid w:val="66C343CE"/>
    <w:rsid w:val="67440CAB"/>
    <w:rsid w:val="6782702B"/>
    <w:rsid w:val="678A5E57"/>
    <w:rsid w:val="67A86C6A"/>
    <w:rsid w:val="67C06FD2"/>
    <w:rsid w:val="67F95C28"/>
    <w:rsid w:val="67FC0BC9"/>
    <w:rsid w:val="68146827"/>
    <w:rsid w:val="684D44CA"/>
    <w:rsid w:val="687D69EC"/>
    <w:rsid w:val="689245A9"/>
    <w:rsid w:val="68C61866"/>
    <w:rsid w:val="68EC5871"/>
    <w:rsid w:val="690E2712"/>
    <w:rsid w:val="69D321A4"/>
    <w:rsid w:val="6A1058FC"/>
    <w:rsid w:val="6A910D88"/>
    <w:rsid w:val="6AFA6CDD"/>
    <w:rsid w:val="6B0D446E"/>
    <w:rsid w:val="6BE712D3"/>
    <w:rsid w:val="6C15082B"/>
    <w:rsid w:val="6C2616B5"/>
    <w:rsid w:val="6C3854AC"/>
    <w:rsid w:val="6C39130E"/>
    <w:rsid w:val="6C653D2B"/>
    <w:rsid w:val="6CC375DB"/>
    <w:rsid w:val="6CE20216"/>
    <w:rsid w:val="6D066D26"/>
    <w:rsid w:val="6D222936"/>
    <w:rsid w:val="6D5F6874"/>
    <w:rsid w:val="6D631EE4"/>
    <w:rsid w:val="6D9F749B"/>
    <w:rsid w:val="6E7A1830"/>
    <w:rsid w:val="6E804714"/>
    <w:rsid w:val="6EB54C74"/>
    <w:rsid w:val="6ECE3EA8"/>
    <w:rsid w:val="6ED63DDB"/>
    <w:rsid w:val="6EE74646"/>
    <w:rsid w:val="6F0C3B6A"/>
    <w:rsid w:val="6F3E6C48"/>
    <w:rsid w:val="70D76647"/>
    <w:rsid w:val="71820106"/>
    <w:rsid w:val="71906817"/>
    <w:rsid w:val="71BB6CD5"/>
    <w:rsid w:val="71BD2C85"/>
    <w:rsid w:val="71C02CF2"/>
    <w:rsid w:val="71D07C22"/>
    <w:rsid w:val="71F42EDB"/>
    <w:rsid w:val="7257796A"/>
    <w:rsid w:val="72F86392"/>
    <w:rsid w:val="731C547C"/>
    <w:rsid w:val="739C0EFC"/>
    <w:rsid w:val="73B749DE"/>
    <w:rsid w:val="73CE217D"/>
    <w:rsid w:val="73D20CCD"/>
    <w:rsid w:val="74F0420D"/>
    <w:rsid w:val="74F20FD7"/>
    <w:rsid w:val="753B0250"/>
    <w:rsid w:val="755B4D66"/>
    <w:rsid w:val="757565A8"/>
    <w:rsid w:val="768D1FAE"/>
    <w:rsid w:val="76BB05AA"/>
    <w:rsid w:val="76C4112A"/>
    <w:rsid w:val="778F404F"/>
    <w:rsid w:val="77A83373"/>
    <w:rsid w:val="77B16D9B"/>
    <w:rsid w:val="782E29F9"/>
    <w:rsid w:val="78D45EF9"/>
    <w:rsid w:val="79477A05"/>
    <w:rsid w:val="79940683"/>
    <w:rsid w:val="799562D1"/>
    <w:rsid w:val="79BC6558"/>
    <w:rsid w:val="7A2C6801"/>
    <w:rsid w:val="7A2E4B0E"/>
    <w:rsid w:val="7A2F4562"/>
    <w:rsid w:val="7A4E4613"/>
    <w:rsid w:val="7A7F2425"/>
    <w:rsid w:val="7BB02F4F"/>
    <w:rsid w:val="7BD101DF"/>
    <w:rsid w:val="7C0840FA"/>
    <w:rsid w:val="7C0C7D4C"/>
    <w:rsid w:val="7C1829C4"/>
    <w:rsid w:val="7C546F68"/>
    <w:rsid w:val="7CC22809"/>
    <w:rsid w:val="7DAD3B86"/>
    <w:rsid w:val="7DC4425D"/>
    <w:rsid w:val="7E287DF7"/>
    <w:rsid w:val="7EE56CB3"/>
    <w:rsid w:val="7F870AA8"/>
    <w:rsid w:val="7FA56664"/>
    <w:rsid w:val="7FB543BB"/>
    <w:rsid w:val="7FC6567C"/>
    <w:rsid w:val="7FFD1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
    <w:qFormat/>
    <w:uiPriority w:val="0"/>
    <w:pPr>
      <w:keepNext/>
      <w:keepLines/>
      <w:spacing w:before="340" w:after="330" w:line="576" w:lineRule="auto"/>
      <w:jc w:val="center"/>
      <w:outlineLvl w:val="0"/>
    </w:pPr>
    <w:rPr>
      <w:rFonts w:ascii="Times New Roman" w:hAnsi="Times New Roman"/>
      <w:b/>
      <w:kern w:val="44"/>
      <w:sz w:val="28"/>
      <w:szCs w:val="20"/>
    </w:rPr>
  </w:style>
  <w:style w:type="paragraph" w:styleId="2">
    <w:name w:val="heading 2"/>
    <w:basedOn w:val="1"/>
    <w:next w:val="1"/>
    <w:link w:val="40"/>
    <w:qFormat/>
    <w:uiPriority w:val="0"/>
    <w:pPr>
      <w:keepNext/>
      <w:keepLines/>
      <w:spacing w:before="260" w:after="260" w:line="413" w:lineRule="auto"/>
      <w:outlineLvl w:val="1"/>
    </w:pPr>
    <w:rPr>
      <w:rFonts w:ascii="Arial" w:hAnsi="Arial"/>
      <w:kern w:val="0"/>
      <w:sz w:val="28"/>
      <w:szCs w:val="20"/>
    </w:rPr>
  </w:style>
  <w:style w:type="paragraph" w:styleId="5">
    <w:name w:val="heading 3"/>
    <w:basedOn w:val="1"/>
    <w:next w:val="1"/>
    <w:link w:val="37"/>
    <w:qFormat/>
    <w:uiPriority w:val="0"/>
    <w:pPr>
      <w:keepNext/>
      <w:keepLines/>
      <w:spacing w:before="260" w:after="260" w:line="413" w:lineRule="auto"/>
      <w:outlineLvl w:val="2"/>
    </w:pPr>
    <w:rPr>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6">
    <w:name w:val="toc 7"/>
    <w:basedOn w:val="1"/>
    <w:next w:val="1"/>
    <w:qFormat/>
    <w:uiPriority w:val="0"/>
    <w:pPr>
      <w:ind w:left="2520" w:leftChars="1200"/>
    </w:pPr>
  </w:style>
  <w:style w:type="paragraph" w:styleId="7">
    <w:name w:val="Document Map"/>
    <w:basedOn w:val="1"/>
    <w:link w:val="33"/>
    <w:qFormat/>
    <w:uiPriority w:val="0"/>
    <w:rPr>
      <w:rFonts w:ascii="宋体"/>
      <w:sz w:val="18"/>
      <w:szCs w:val="18"/>
    </w:rPr>
  </w:style>
  <w:style w:type="paragraph" w:styleId="8">
    <w:name w:val="annotation text"/>
    <w:basedOn w:val="1"/>
    <w:link w:val="31"/>
    <w:qFormat/>
    <w:uiPriority w:val="0"/>
    <w:pPr>
      <w:jc w:val="left"/>
    </w:pPr>
    <w:rPr>
      <w:rFonts w:ascii="Calibri" w:hAnsi="Calibri"/>
      <w:szCs w:val="22"/>
    </w:rPr>
  </w:style>
  <w:style w:type="paragraph" w:styleId="9">
    <w:name w:val="Body Text"/>
    <w:basedOn w:val="1"/>
    <w:qFormat/>
    <w:uiPriority w:val="0"/>
    <w:pPr>
      <w:spacing w:after="120"/>
    </w:pPr>
  </w:style>
  <w:style w:type="paragraph" w:styleId="10">
    <w:name w:val="Body Text Indent"/>
    <w:basedOn w:val="1"/>
    <w:link w:val="42"/>
    <w:qFormat/>
    <w:uiPriority w:val="0"/>
    <w:pPr>
      <w:spacing w:after="120"/>
      <w:ind w:left="420" w:leftChars="200"/>
    </w:pPr>
  </w:style>
  <w:style w:type="paragraph" w:styleId="11">
    <w:name w:val="List 2"/>
    <w:qFormat/>
    <w:uiPriority w:val="0"/>
    <w:pPr>
      <w:spacing w:line="400" w:lineRule="exact"/>
      <w:jc w:val="center"/>
    </w:pPr>
    <w:rPr>
      <w:rFonts w:ascii="Arial" w:hAnsi="Arial" w:eastAsia="宋体" w:cs="Times New Roman"/>
      <w:sz w:val="24"/>
      <w:lang w:val="en-US" w:eastAsia="zh-CN" w:bidi="ar-SA"/>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link w:val="49"/>
    <w:qFormat/>
    <w:uiPriority w:val="0"/>
    <w:pPr>
      <w:adjustRightInd w:val="0"/>
      <w:spacing w:line="312" w:lineRule="atLeast"/>
      <w:textAlignment w:val="baseline"/>
    </w:pPr>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3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Body Text Indent 3"/>
    <w:basedOn w:val="1"/>
    <w:link w:val="41"/>
    <w:qFormat/>
    <w:uiPriority w:val="0"/>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toc 9"/>
    <w:basedOn w:val="1"/>
    <w:next w:val="1"/>
    <w:qFormat/>
    <w:uiPriority w:val="0"/>
    <w:pPr>
      <w:ind w:left="3360" w:leftChars="1600"/>
    </w:pPr>
  </w:style>
  <w:style w:type="paragraph" w:styleId="25">
    <w:name w:val="annotation subject"/>
    <w:basedOn w:val="8"/>
    <w:next w:val="8"/>
    <w:link w:val="32"/>
    <w:qFormat/>
    <w:uiPriority w:val="0"/>
    <w:rPr>
      <w:rFonts w:ascii="Times New Roman" w:hAnsi="Times New Roman"/>
      <w:b/>
      <w:bCs/>
      <w:szCs w:val="24"/>
    </w:rPr>
  </w:style>
  <w:style w:type="table" w:styleId="27">
    <w:name w:val="Table Grid"/>
    <w:basedOn w:val="26"/>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character" w:customStyle="1" w:styleId="31">
    <w:name w:val="批注文字 字符"/>
    <w:link w:val="8"/>
    <w:qFormat/>
    <w:uiPriority w:val="0"/>
    <w:rPr>
      <w:rFonts w:ascii="Calibri" w:hAnsi="Calibri"/>
      <w:kern w:val="2"/>
      <w:sz w:val="21"/>
      <w:szCs w:val="22"/>
    </w:rPr>
  </w:style>
  <w:style w:type="character" w:customStyle="1" w:styleId="32">
    <w:name w:val="批注主题 字符"/>
    <w:basedOn w:val="31"/>
    <w:link w:val="25"/>
    <w:qFormat/>
    <w:uiPriority w:val="0"/>
    <w:rPr>
      <w:rFonts w:ascii="Calibri" w:hAnsi="Calibri"/>
      <w:kern w:val="2"/>
      <w:sz w:val="21"/>
      <w:szCs w:val="22"/>
    </w:rPr>
  </w:style>
  <w:style w:type="character" w:customStyle="1" w:styleId="33">
    <w:name w:val="文档结构图 字符"/>
    <w:link w:val="7"/>
    <w:qFormat/>
    <w:uiPriority w:val="0"/>
    <w:rPr>
      <w:rFonts w:ascii="宋体"/>
      <w:kern w:val="2"/>
      <w:sz w:val="18"/>
      <w:szCs w:val="18"/>
    </w:rPr>
  </w:style>
  <w:style w:type="character" w:customStyle="1" w:styleId="34">
    <w:name w:val="批注框文本 字符"/>
    <w:link w:val="16"/>
    <w:qFormat/>
    <w:uiPriority w:val="0"/>
    <w:rPr>
      <w:kern w:val="2"/>
      <w:sz w:val="18"/>
      <w:szCs w:val="18"/>
    </w:rPr>
  </w:style>
  <w:style w:type="character" w:customStyle="1" w:styleId="35">
    <w:name w:val="1101 Char"/>
    <w:link w:val="36"/>
    <w:qFormat/>
    <w:uiPriority w:val="0"/>
    <w:rPr>
      <w:rFonts w:ascii="宋体" w:hAnsi="宋体" w:cs="宋体"/>
      <w:kern w:val="2"/>
      <w:sz w:val="28"/>
      <w:szCs w:val="28"/>
    </w:rPr>
  </w:style>
  <w:style w:type="paragraph" w:customStyle="1" w:styleId="36">
    <w:name w:val="1101"/>
    <w:basedOn w:val="1"/>
    <w:link w:val="35"/>
    <w:qFormat/>
    <w:uiPriority w:val="0"/>
    <w:pPr>
      <w:ind w:firstLine="560" w:firstLineChars="200"/>
      <w:jc w:val="left"/>
    </w:pPr>
    <w:rPr>
      <w:rFonts w:ascii="宋体" w:hAnsi="宋体"/>
      <w:sz w:val="28"/>
      <w:szCs w:val="28"/>
    </w:rPr>
  </w:style>
  <w:style w:type="character" w:customStyle="1" w:styleId="37">
    <w:name w:val="标题 3 字符"/>
    <w:link w:val="5"/>
    <w:qFormat/>
    <w:uiPriority w:val="0"/>
    <w:rPr>
      <w:rFonts w:eastAsia="宋体"/>
      <w:sz w:val="28"/>
    </w:rPr>
  </w:style>
  <w:style w:type="character" w:customStyle="1" w:styleId="38">
    <w:name w:val="标题 1 字符"/>
    <w:link w:val="3"/>
    <w:qFormat/>
    <w:uiPriority w:val="0"/>
    <w:rPr>
      <w:rFonts w:ascii="Times New Roman" w:hAnsi="Times New Roman" w:eastAsia="宋体"/>
      <w:b/>
      <w:kern w:val="44"/>
      <w:sz w:val="28"/>
      <w:szCs w:val="20"/>
    </w:rPr>
  </w:style>
  <w:style w:type="character" w:customStyle="1" w:styleId="39">
    <w:name w:val="正文文本缩进 Char"/>
    <w:basedOn w:val="28"/>
    <w:qFormat/>
    <w:uiPriority w:val="0"/>
    <w:rPr>
      <w:kern w:val="2"/>
      <w:sz w:val="21"/>
      <w:szCs w:val="24"/>
    </w:rPr>
  </w:style>
  <w:style w:type="character" w:customStyle="1" w:styleId="40">
    <w:name w:val="标题 2 字符"/>
    <w:link w:val="2"/>
    <w:qFormat/>
    <w:uiPriority w:val="0"/>
    <w:rPr>
      <w:rFonts w:ascii="Arial" w:hAnsi="Arial" w:eastAsia="宋体"/>
      <w:sz w:val="28"/>
      <w:szCs w:val="20"/>
    </w:rPr>
  </w:style>
  <w:style w:type="character" w:customStyle="1" w:styleId="41">
    <w:name w:val="正文文本缩进 3 字符"/>
    <w:link w:val="22"/>
    <w:qFormat/>
    <w:uiPriority w:val="0"/>
    <w:rPr>
      <w:kern w:val="2"/>
      <w:sz w:val="16"/>
      <w:szCs w:val="16"/>
    </w:rPr>
  </w:style>
  <w:style w:type="character" w:customStyle="1" w:styleId="42">
    <w:name w:val="正文文本缩进 字符"/>
    <w:basedOn w:val="28"/>
    <w:link w:val="10"/>
    <w:qFormat/>
    <w:uiPriority w:val="0"/>
    <w:rPr>
      <w:kern w:val="2"/>
      <w:sz w:val="21"/>
      <w:szCs w:val="24"/>
    </w:rPr>
  </w:style>
  <w:style w:type="paragraph" w:customStyle="1" w:styleId="4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4">
    <w:name w:val="纯文本1"/>
    <w:basedOn w:val="1"/>
    <w:qFormat/>
    <w:uiPriority w:val="0"/>
    <w:rPr>
      <w:rFonts w:ascii="宋体" w:hAnsi="Courier New" w:cs="黑体"/>
      <w:szCs w:val="21"/>
    </w:rPr>
  </w:style>
  <w:style w:type="paragraph" w:customStyle="1" w:styleId="45">
    <w:name w:val="ST20_2"/>
    <w:basedOn w:val="1"/>
    <w:qFormat/>
    <w:uiPriority w:val="0"/>
    <w:pPr>
      <w:autoSpaceDE w:val="0"/>
      <w:autoSpaceDN w:val="0"/>
      <w:adjustRightInd w:val="0"/>
      <w:spacing w:line="312" w:lineRule="atLeast"/>
      <w:ind w:firstLine="482"/>
      <w:textAlignment w:val="baseline"/>
    </w:pPr>
    <w:rPr>
      <w:rFonts w:ascii="宋体" w:hAnsi="Tms Rmn"/>
      <w:kern w:val="0"/>
      <w:sz w:val="24"/>
      <w:szCs w:val="20"/>
    </w:rPr>
  </w:style>
  <w:style w:type="paragraph" w:customStyle="1" w:styleId="46">
    <w:name w:val="款下正文"/>
    <w:basedOn w:val="1"/>
    <w:qFormat/>
    <w:uiPriority w:val="0"/>
    <w:pPr>
      <w:spacing w:beforeLines="50" w:afterLines="50" w:line="480" w:lineRule="exact"/>
      <w:ind w:firstLine="480" w:firstLineChars="200"/>
    </w:pPr>
    <w:rPr>
      <w:sz w:val="24"/>
      <w:szCs w:val="28"/>
    </w:rPr>
  </w:style>
  <w:style w:type="paragraph" w:customStyle="1" w:styleId="47">
    <w:name w:val="TOC 标题1"/>
    <w:basedOn w:val="3"/>
    <w:next w:val="1"/>
    <w:qFormat/>
    <w:uiPriority w:val="39"/>
    <w:pPr>
      <w:widowControl/>
      <w:spacing w:before="480" w:after="0" w:line="276" w:lineRule="auto"/>
      <w:jc w:val="left"/>
      <w:outlineLvl w:val="9"/>
    </w:pPr>
    <w:rPr>
      <w:rFonts w:ascii="Cambria" w:hAnsi="Cambria"/>
      <w:bCs/>
      <w:color w:val="365F91"/>
      <w:kern w:val="0"/>
      <w:szCs w:val="28"/>
    </w:rPr>
  </w:style>
  <w:style w:type="paragraph" w:customStyle="1" w:styleId="48">
    <w:name w:val="样式1"/>
    <w:basedOn w:val="3"/>
    <w:qFormat/>
    <w:uiPriority w:val="0"/>
  </w:style>
  <w:style w:type="character" w:customStyle="1" w:styleId="49">
    <w:name w:val="纯文本 字符"/>
    <w:link w:val="14"/>
    <w:qFormat/>
    <w:uiPriority w:val="0"/>
    <w:rPr>
      <w:rFonts w:ascii="宋体" w:hAnsi="Courier New"/>
      <w:kern w:val="2"/>
      <w:sz w:val="21"/>
      <w:szCs w:val="24"/>
    </w:rPr>
  </w:style>
  <w:style w:type="paragraph" w:customStyle="1" w:styleId="50">
    <w:name w:val="列出段落1"/>
    <w:basedOn w:val="1"/>
    <w:qFormat/>
    <w:uiPriority w:val="34"/>
    <w:pPr>
      <w:ind w:firstLine="420" w:firstLineChars="200"/>
    </w:pPr>
    <w:rPr>
      <w:rFonts w:ascii="Calibri" w:hAnsi="Calibri"/>
      <w:szCs w:val="22"/>
    </w:rPr>
  </w:style>
  <w:style w:type="character" w:customStyle="1" w:styleId="51">
    <w:name w:val="纯文本 Char1"/>
    <w:basedOn w:val="28"/>
    <w:qFormat/>
    <w:uiPriority w:val="0"/>
    <w:rPr>
      <w:rFonts w:ascii="宋体" w:hAnsi="Courier New" w:eastAsia="宋体"/>
    </w:rPr>
  </w:style>
  <w:style w:type="paragraph" w:styleId="52">
    <w:name w:val="List Paragraph"/>
    <w:basedOn w:val="1"/>
    <w:unhideWhenUsed/>
    <w:qFormat/>
    <w:uiPriority w:val="99"/>
    <w:pPr>
      <w:ind w:firstLine="420" w:firstLineChars="200"/>
    </w:pPr>
  </w:style>
  <w:style w:type="paragraph" w:customStyle="1" w:styleId="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表格文字"/>
    <w:qFormat/>
    <w:uiPriority w:val="0"/>
    <w:pPr>
      <w:spacing w:line="288" w:lineRule="auto"/>
      <w:jc w:val="center"/>
    </w:pPr>
    <w:rPr>
      <w:rFonts w:ascii="宋体" w:hAnsi="宋体" w:eastAsia="宋体" w:cs="宋体"/>
      <w:kern w:val="2"/>
      <w:sz w:val="21"/>
      <w:szCs w:val="21"/>
      <w:lang w:val="en-US" w:eastAsia="zh-CN" w:bidi="ar-SA"/>
    </w:rPr>
  </w:style>
  <w:style w:type="character" w:customStyle="1" w:styleId="55">
    <w:name w:val="批注文字 Char"/>
    <w:semiHidden/>
    <w:qFormat/>
    <w:uiPriority w:val="0"/>
    <w:rPr>
      <w:sz w:val="24"/>
    </w:rPr>
  </w:style>
  <w:style w:type="character" w:customStyle="1" w:styleId="56">
    <w:name w:val="批注框文本 Char"/>
    <w:qFormat/>
    <w:uiPriority w:val="0"/>
    <w:rPr>
      <w:kern w:val="2"/>
      <w:sz w:val="18"/>
      <w:szCs w:val="18"/>
    </w:rPr>
  </w:style>
  <w:style w:type="character" w:customStyle="1" w:styleId="57">
    <w:name w:val="font0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E1F82-76BD-4F23-B719-3D00D26267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3095</Words>
  <Characters>17648</Characters>
  <Lines>147</Lines>
  <Paragraphs>41</Paragraphs>
  <TotalTime>1</TotalTime>
  <ScaleCrop>false</ScaleCrop>
  <LinksUpToDate>false</LinksUpToDate>
  <CharactersWithSpaces>20702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2018-10-16T05:44:00Z</dcterms:created>
  <dc:creator>jkghj</dc:creator>
  <cp:lastModifiedBy>venus</cp:lastModifiedBy>
  <cp:lastPrinted>2021-04-09T00:10:00Z</cp:lastPrinted>
  <dcterms:modified xsi:type="dcterms:W3CDTF">2021-06-03T07:27:33Z</dcterms:modified>
  <dc:title>南宁市轨道交通3号线工程可行性研究报告(含选线勘察)编制</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8FE5F5EB9A054C8D81B22001FD4FD147</vt:lpwstr>
  </property>
</Properties>
</file>