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20" w:line="480" w:lineRule="auto"/>
        <w:jc w:val="center"/>
        <w:rPr>
          <w:rFonts w:eastAsiaTheme="minorEastAsia"/>
          <w:b/>
          <w:bCs/>
          <w:color w:val="auto"/>
          <w:sz w:val="44"/>
          <w:szCs w:val="44"/>
          <w:highlight w:val="none"/>
        </w:rPr>
      </w:pPr>
      <w:bookmarkStart w:id="0" w:name="_Toc23188"/>
      <w:bookmarkStart w:id="1" w:name="_Toc471482358"/>
      <w:bookmarkStart w:id="2" w:name="_Toc18159"/>
      <w:bookmarkStart w:id="3" w:name="_Toc12363"/>
      <w:bookmarkStart w:id="4" w:name="_Toc25905"/>
      <w:bookmarkStart w:id="5" w:name="_Toc21106"/>
      <w:bookmarkStart w:id="6" w:name="_Toc9980"/>
      <w:bookmarkStart w:id="7" w:name="_Toc4954"/>
      <w:bookmarkStart w:id="8" w:name="_Toc14943"/>
      <w:bookmarkStart w:id="9" w:name="_Toc27692"/>
      <w:bookmarkStart w:id="10" w:name="_Toc32122"/>
      <w:bookmarkStart w:id="11" w:name="_Toc461525293"/>
      <w:r>
        <w:rPr>
          <w:rFonts w:hint="eastAsia" w:eastAsiaTheme="minorEastAsia"/>
          <w:b/>
          <w:color w:val="auto"/>
          <w:sz w:val="48"/>
          <w:szCs w:val="52"/>
          <w:highlight w:val="none"/>
        </w:rPr>
        <w:t>桂林市</w:t>
      </w:r>
      <w:r>
        <w:rPr>
          <w:rFonts w:hint="eastAsia" w:eastAsiaTheme="minorEastAsia"/>
          <w:b/>
          <w:color w:val="auto"/>
          <w:sz w:val="48"/>
          <w:szCs w:val="52"/>
          <w:highlight w:val="none"/>
          <w:lang w:val="en-US" w:eastAsia="zh-CN"/>
        </w:rPr>
        <w:t>轨道交通集团</w:t>
      </w:r>
      <w:r>
        <w:rPr>
          <w:rFonts w:hint="eastAsia" w:eastAsiaTheme="minorEastAsia"/>
          <w:b/>
          <w:color w:val="auto"/>
          <w:sz w:val="48"/>
          <w:szCs w:val="52"/>
          <w:highlight w:val="none"/>
        </w:rPr>
        <w:t>有限公司202</w:t>
      </w:r>
      <w:r>
        <w:rPr>
          <w:rFonts w:eastAsiaTheme="minorEastAsia"/>
          <w:b/>
          <w:color w:val="auto"/>
          <w:sz w:val="48"/>
          <w:szCs w:val="52"/>
          <w:highlight w:val="none"/>
        </w:rPr>
        <w:t>1</w:t>
      </w:r>
      <w:r>
        <w:rPr>
          <w:rFonts w:hint="eastAsia" w:eastAsiaTheme="minorEastAsia"/>
          <w:b/>
          <w:color w:val="auto"/>
          <w:sz w:val="48"/>
          <w:szCs w:val="52"/>
          <w:highlight w:val="none"/>
        </w:rPr>
        <w:t>年第</w:t>
      </w:r>
      <w:r>
        <w:rPr>
          <w:rFonts w:hint="eastAsia" w:eastAsiaTheme="minorEastAsia"/>
          <w:b/>
          <w:color w:val="auto"/>
          <w:sz w:val="48"/>
          <w:szCs w:val="52"/>
          <w:highlight w:val="none"/>
          <w:lang w:val="en-US" w:eastAsia="zh-CN"/>
        </w:rPr>
        <w:t>四</w:t>
      </w:r>
      <w:r>
        <w:rPr>
          <w:rFonts w:hint="eastAsia" w:eastAsiaTheme="minorEastAsia"/>
          <w:b/>
          <w:color w:val="auto"/>
          <w:sz w:val="48"/>
          <w:szCs w:val="52"/>
          <w:highlight w:val="none"/>
        </w:rPr>
        <w:t>批次招标代理机构比选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比</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文</w:t>
      </w:r>
    </w:p>
    <w:p>
      <w:pPr>
        <w:spacing w:line="720" w:lineRule="auto"/>
        <w:jc w:val="center"/>
        <w:rPr>
          <w:rFonts w:eastAsiaTheme="minorEastAsia"/>
          <w:b/>
          <w:bCs/>
          <w:color w:val="auto"/>
          <w:sz w:val="36"/>
          <w:szCs w:val="36"/>
          <w:highlight w:val="none"/>
        </w:rPr>
      </w:pPr>
      <w:r>
        <w:rPr>
          <w:rFonts w:eastAsiaTheme="minorEastAsia"/>
          <w:b/>
          <w:bCs/>
          <w:color w:val="auto"/>
          <w:sz w:val="72"/>
          <w:szCs w:val="72"/>
          <w:highlight w:val="none"/>
        </w:rPr>
        <w:t>件</w:t>
      </w:r>
    </w:p>
    <w:p>
      <w:pPr>
        <w:spacing w:line="360" w:lineRule="auto"/>
        <w:jc w:val="center"/>
        <w:rPr>
          <w:rFonts w:eastAsiaTheme="minorEastAsia"/>
          <w:b/>
          <w:bCs/>
          <w:color w:val="auto"/>
          <w:sz w:val="44"/>
          <w:szCs w:val="44"/>
          <w:highlight w:val="none"/>
        </w:rPr>
      </w:pPr>
      <w:r>
        <w:rPr>
          <w:rFonts w:eastAsiaTheme="minorEastAsia"/>
          <w:b/>
          <w:bCs/>
          <w:color w:val="auto"/>
          <w:sz w:val="44"/>
          <w:szCs w:val="44"/>
          <w:highlight w:val="none"/>
        </w:rPr>
        <w:t>比选人：</w:t>
      </w:r>
      <w:r>
        <w:rPr>
          <w:rFonts w:hint="eastAsia" w:eastAsiaTheme="minorEastAsia"/>
          <w:b/>
          <w:bCs/>
          <w:color w:val="auto"/>
          <w:sz w:val="44"/>
          <w:szCs w:val="44"/>
          <w:highlight w:val="none"/>
        </w:rPr>
        <w:t xml:space="preserve"> </w:t>
      </w:r>
      <w:r>
        <w:rPr>
          <w:rFonts w:hint="eastAsia" w:eastAsiaTheme="minorEastAsia"/>
          <w:b/>
          <w:color w:val="auto"/>
          <w:sz w:val="48"/>
          <w:szCs w:val="52"/>
          <w:highlight w:val="none"/>
        </w:rPr>
        <w:t>桂林市</w:t>
      </w:r>
      <w:r>
        <w:rPr>
          <w:rFonts w:hint="eastAsia" w:eastAsiaTheme="minorEastAsia"/>
          <w:b/>
          <w:color w:val="auto"/>
          <w:sz w:val="48"/>
          <w:szCs w:val="52"/>
          <w:highlight w:val="none"/>
          <w:lang w:val="en-US" w:eastAsia="zh-CN"/>
        </w:rPr>
        <w:t>轨道交通集团</w:t>
      </w:r>
      <w:r>
        <w:rPr>
          <w:rFonts w:hint="eastAsia" w:eastAsiaTheme="minorEastAsia"/>
          <w:b/>
          <w:color w:val="auto"/>
          <w:sz w:val="48"/>
          <w:szCs w:val="52"/>
          <w:highlight w:val="none"/>
        </w:rPr>
        <w:t>有限公司</w:t>
      </w:r>
    </w:p>
    <w:p>
      <w:pPr>
        <w:jc w:val="center"/>
        <w:rPr>
          <w:rFonts w:eastAsiaTheme="minorEastAsia"/>
          <w:b/>
          <w:color w:val="auto"/>
          <w:sz w:val="44"/>
          <w:szCs w:val="44"/>
          <w:highlight w:val="none"/>
        </w:rPr>
        <w:sectPr>
          <w:headerReference r:id="rId3" w:type="default"/>
          <w:footerReference r:id="rId4" w:type="default"/>
          <w:pgSz w:w="11906" w:h="16838"/>
          <w:pgMar w:top="1418" w:right="1418" w:bottom="1134" w:left="1418" w:header="851" w:footer="992" w:gutter="0"/>
          <w:pgNumType w:start="1"/>
          <w:cols w:space="720" w:num="1"/>
          <w:docGrid w:linePitch="312" w:charSpace="0"/>
        </w:sectPr>
      </w:pPr>
      <w:r>
        <w:rPr>
          <w:rFonts w:hint="eastAsia" w:eastAsiaTheme="minorEastAsia"/>
          <w:b/>
          <w:bCs/>
          <w:color w:val="auto"/>
          <w:sz w:val="44"/>
          <w:szCs w:val="44"/>
          <w:highlight w:val="none"/>
        </w:rPr>
        <w:t>2021年</w:t>
      </w:r>
      <w:r>
        <w:rPr>
          <w:rFonts w:hint="eastAsia" w:eastAsiaTheme="minorEastAsia"/>
          <w:b/>
          <w:bCs/>
          <w:color w:val="auto"/>
          <w:sz w:val="44"/>
          <w:szCs w:val="44"/>
          <w:highlight w:val="none"/>
          <w:lang w:val="en-US" w:eastAsia="zh-CN"/>
        </w:rPr>
        <w:t>9</w:t>
      </w:r>
      <w:r>
        <w:rPr>
          <w:rFonts w:eastAsiaTheme="minorEastAsia"/>
          <w:b/>
          <w:bCs/>
          <w:color w:val="auto"/>
          <w:sz w:val="44"/>
          <w:szCs w:val="44"/>
          <w:highlight w:val="none"/>
        </w:rPr>
        <w:t>月</w:t>
      </w:r>
    </w:p>
    <w:p>
      <w:pPr>
        <w:jc w:val="center"/>
        <w:rPr>
          <w:rFonts w:eastAsiaTheme="minorEastAsia"/>
          <w:b/>
          <w:color w:val="auto"/>
          <w:sz w:val="32"/>
          <w:szCs w:val="32"/>
          <w:highlight w:val="none"/>
        </w:rPr>
      </w:pPr>
      <w:r>
        <w:rPr>
          <w:rFonts w:eastAsiaTheme="minorEastAsia"/>
          <w:b/>
          <w:color w:val="auto"/>
          <w:sz w:val="32"/>
          <w:szCs w:val="32"/>
          <w:highlight w:val="none"/>
        </w:rPr>
        <w:t>目</w:t>
      </w:r>
      <w:r>
        <w:rPr>
          <w:rFonts w:hint="eastAsia" w:eastAsiaTheme="minorEastAsia"/>
          <w:b/>
          <w:color w:val="auto"/>
          <w:sz w:val="32"/>
          <w:szCs w:val="32"/>
          <w:highlight w:val="none"/>
        </w:rPr>
        <w:t xml:space="preserve">  </w:t>
      </w:r>
      <w:r>
        <w:rPr>
          <w:rFonts w:eastAsiaTheme="minorEastAsia"/>
          <w:b/>
          <w:color w:val="auto"/>
          <w:sz w:val="32"/>
          <w:szCs w:val="32"/>
          <w:highlight w:val="none"/>
        </w:rPr>
        <w:t>录</w:t>
      </w:r>
      <w:bookmarkEnd w:id="0"/>
      <w:bookmarkEnd w:id="1"/>
      <w:bookmarkEnd w:id="2"/>
      <w:bookmarkEnd w:id="3"/>
      <w:bookmarkEnd w:id="4"/>
      <w:bookmarkEnd w:id="5"/>
      <w:bookmarkEnd w:id="6"/>
      <w:bookmarkEnd w:id="7"/>
      <w:bookmarkEnd w:id="8"/>
      <w:bookmarkEnd w:id="9"/>
      <w:bookmarkEnd w:id="10"/>
      <w:bookmarkEnd w:id="11"/>
    </w:p>
    <w:p>
      <w:pPr>
        <w:pStyle w:val="19"/>
        <w:tabs>
          <w:tab w:val="right" w:leader="dot" w:pos="9070"/>
        </w:tabs>
      </w:pPr>
      <w:r>
        <w:rPr>
          <w:rFonts w:eastAsiaTheme="minorEastAsia"/>
          <w:color w:val="auto"/>
          <w:sz w:val="24"/>
          <w:highlight w:val="none"/>
        </w:rPr>
        <w:fldChar w:fldCharType="begin"/>
      </w:r>
      <w:r>
        <w:rPr>
          <w:rFonts w:eastAsiaTheme="minorEastAsia"/>
          <w:color w:val="auto"/>
          <w:sz w:val="24"/>
          <w:highlight w:val="none"/>
        </w:rPr>
        <w:instrText xml:space="preserve"> TOC \o "1-2" \h \z \u </w:instrText>
      </w:r>
      <w:r>
        <w:rPr>
          <w:rFonts w:eastAsiaTheme="minorEastAsia"/>
          <w:color w:val="auto"/>
          <w:sz w:val="24"/>
          <w:highlight w:val="none"/>
        </w:rPr>
        <w:fldChar w:fldCharType="separate"/>
      </w:r>
      <w:r>
        <w:rPr>
          <w:rFonts w:eastAsiaTheme="minorEastAsia"/>
          <w:color w:val="auto"/>
          <w:highlight w:val="none"/>
        </w:rPr>
        <w:fldChar w:fldCharType="begin"/>
      </w:r>
      <w:r>
        <w:rPr>
          <w:rFonts w:eastAsiaTheme="minorEastAsia"/>
          <w:highlight w:val="none"/>
        </w:rPr>
        <w:instrText xml:space="preserve"> HYPERLINK \l _Toc17288 </w:instrText>
      </w:r>
      <w:r>
        <w:rPr>
          <w:rFonts w:eastAsiaTheme="minorEastAsia"/>
          <w:highlight w:val="none"/>
        </w:rPr>
        <w:fldChar w:fldCharType="separate"/>
      </w:r>
      <w:r>
        <w:rPr>
          <w:rFonts w:eastAsiaTheme="minorEastAsia"/>
          <w:szCs w:val="28"/>
          <w:highlight w:val="none"/>
        </w:rPr>
        <w:t>第一章比选公告</w:t>
      </w:r>
      <w:r>
        <w:tab/>
      </w:r>
      <w:r>
        <w:fldChar w:fldCharType="begin"/>
      </w:r>
      <w:r>
        <w:instrText xml:space="preserve"> PAGEREF _Toc17288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_Toc32199 </w:instrText>
      </w:r>
      <w:r>
        <w:rPr>
          <w:rFonts w:eastAsiaTheme="minorEastAsia"/>
          <w:highlight w:val="none"/>
        </w:rPr>
        <w:fldChar w:fldCharType="separate"/>
      </w:r>
      <w:r>
        <w:rPr>
          <w:rFonts w:ascii="Times New Roman" w:hAnsi="Times New Roman" w:eastAsiaTheme="minorEastAsia"/>
          <w:szCs w:val="24"/>
          <w:highlight w:val="none"/>
        </w:rPr>
        <w:t>一、项目概况</w:t>
      </w:r>
      <w:r>
        <w:tab/>
      </w:r>
      <w:r>
        <w:fldChar w:fldCharType="begin"/>
      </w:r>
      <w:r>
        <w:instrText xml:space="preserve"> PAGEREF _Toc32199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_Toc21492 </w:instrText>
      </w:r>
      <w:r>
        <w:rPr>
          <w:rFonts w:eastAsiaTheme="minorEastAsia"/>
          <w:highlight w:val="none"/>
        </w:rPr>
        <w:fldChar w:fldCharType="separate"/>
      </w:r>
      <w:r>
        <w:rPr>
          <w:rFonts w:ascii="Times New Roman" w:hAnsi="Times New Roman" w:eastAsiaTheme="minorEastAsia"/>
          <w:szCs w:val="24"/>
          <w:highlight w:val="none"/>
        </w:rPr>
        <w:t>二、比选申请人资格要求</w:t>
      </w:r>
      <w:r>
        <w:tab/>
      </w:r>
      <w:r>
        <w:fldChar w:fldCharType="begin"/>
      </w:r>
      <w:r>
        <w:instrText xml:space="preserve"> PAGEREF _Toc21492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_Toc3932 </w:instrText>
      </w:r>
      <w:r>
        <w:rPr>
          <w:rFonts w:eastAsiaTheme="minorEastAsia"/>
          <w:highlight w:val="none"/>
        </w:rPr>
        <w:fldChar w:fldCharType="separate"/>
      </w:r>
      <w:r>
        <w:rPr>
          <w:rFonts w:ascii="Times New Roman" w:hAnsi="Times New Roman" w:eastAsiaTheme="minorEastAsia"/>
          <w:szCs w:val="24"/>
          <w:highlight w:val="none"/>
        </w:rPr>
        <w:t>三、比选保证金</w:t>
      </w:r>
      <w:r>
        <w:tab/>
      </w:r>
      <w:r>
        <w:fldChar w:fldCharType="begin"/>
      </w:r>
      <w:r>
        <w:instrText xml:space="preserve"> PAGEREF _Toc3932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_Toc32076 </w:instrText>
      </w:r>
      <w:r>
        <w:rPr>
          <w:rFonts w:eastAsiaTheme="minorEastAsia"/>
          <w:highlight w:val="none"/>
        </w:rPr>
        <w:fldChar w:fldCharType="separate"/>
      </w:r>
      <w:r>
        <w:rPr>
          <w:rFonts w:ascii="Times New Roman" w:hAnsi="Times New Roman" w:eastAsiaTheme="minorEastAsia"/>
          <w:szCs w:val="24"/>
          <w:highlight w:val="none"/>
        </w:rPr>
        <w:t>四、比选文件的获取</w:t>
      </w:r>
      <w:r>
        <w:tab/>
      </w:r>
      <w:r>
        <w:fldChar w:fldCharType="begin"/>
      </w:r>
      <w:r>
        <w:instrText xml:space="preserve"> PAGEREF _Toc32076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_Toc1334 </w:instrText>
      </w:r>
      <w:r>
        <w:rPr>
          <w:rFonts w:eastAsiaTheme="minorEastAsia"/>
          <w:highlight w:val="none"/>
        </w:rPr>
        <w:fldChar w:fldCharType="separate"/>
      </w:r>
      <w:r>
        <w:rPr>
          <w:rFonts w:ascii="Times New Roman" w:hAnsi="Times New Roman" w:eastAsiaTheme="minorEastAsia"/>
          <w:szCs w:val="24"/>
          <w:highlight w:val="none"/>
        </w:rPr>
        <w:t>五、比选申请文件的递交</w:t>
      </w:r>
      <w:r>
        <w:tab/>
      </w:r>
      <w:r>
        <w:fldChar w:fldCharType="begin"/>
      </w:r>
      <w:r>
        <w:instrText xml:space="preserve"> PAGEREF _Toc1334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_Toc8630 </w:instrText>
      </w:r>
      <w:r>
        <w:rPr>
          <w:rFonts w:eastAsiaTheme="minorEastAsia"/>
          <w:highlight w:val="none"/>
        </w:rPr>
        <w:fldChar w:fldCharType="separate"/>
      </w:r>
      <w:r>
        <w:rPr>
          <w:rFonts w:ascii="Times New Roman" w:hAnsi="Times New Roman" w:eastAsiaTheme="minorEastAsia"/>
          <w:szCs w:val="24"/>
          <w:highlight w:val="none"/>
        </w:rPr>
        <w:t>六、比选人联系方式</w:t>
      </w:r>
      <w:r>
        <w:tab/>
      </w:r>
      <w:r>
        <w:fldChar w:fldCharType="begin"/>
      </w:r>
      <w:r>
        <w:instrText xml:space="preserve"> PAGEREF _Toc8630 \h </w:instrText>
      </w:r>
      <w:r>
        <w:fldChar w:fldCharType="separate"/>
      </w:r>
      <w:r>
        <w:t>2</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_Toc29486 </w:instrText>
      </w:r>
      <w:r>
        <w:rPr>
          <w:rFonts w:eastAsiaTheme="minorEastAsia"/>
          <w:highlight w:val="none"/>
        </w:rPr>
        <w:fldChar w:fldCharType="separate"/>
      </w:r>
      <w:r>
        <w:rPr>
          <w:rFonts w:hint="eastAsia" w:ascii="Times New Roman" w:hAnsi="Times New Roman" w:eastAsiaTheme="minorEastAsia"/>
          <w:szCs w:val="24"/>
          <w:highlight w:val="none"/>
        </w:rPr>
        <w:t>七、公告附表</w:t>
      </w:r>
      <w:r>
        <w:tab/>
      </w:r>
      <w:r>
        <w:fldChar w:fldCharType="begin"/>
      </w:r>
      <w:r>
        <w:instrText xml:space="preserve"> PAGEREF _Toc29486 \h </w:instrText>
      </w:r>
      <w:r>
        <w:fldChar w:fldCharType="separate"/>
      </w:r>
      <w:r>
        <w:t>2</w:t>
      </w:r>
      <w:r>
        <w:fldChar w:fldCharType="end"/>
      </w:r>
      <w:r>
        <w:rPr>
          <w:rFonts w:eastAsiaTheme="minorEastAsia"/>
          <w:color w:val="auto"/>
          <w:highlight w:val="none"/>
        </w:rPr>
        <w:fldChar w:fldCharType="end"/>
      </w:r>
    </w:p>
    <w:p>
      <w:pPr>
        <w:pStyle w:val="19"/>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_Toc32460 </w:instrText>
      </w:r>
      <w:r>
        <w:rPr>
          <w:rFonts w:eastAsiaTheme="minorEastAsia"/>
          <w:highlight w:val="none"/>
        </w:rPr>
        <w:fldChar w:fldCharType="separate"/>
      </w:r>
      <w:r>
        <w:rPr>
          <w:rFonts w:eastAsiaTheme="minorEastAsia"/>
          <w:szCs w:val="28"/>
          <w:highlight w:val="none"/>
        </w:rPr>
        <w:t>第二章比选须知</w:t>
      </w:r>
      <w:r>
        <w:tab/>
      </w:r>
      <w:r>
        <w:fldChar w:fldCharType="begin"/>
      </w:r>
      <w:r>
        <w:instrText xml:space="preserve"> PAGEREF _Toc32460 \h </w:instrText>
      </w:r>
      <w:r>
        <w:fldChar w:fldCharType="separate"/>
      </w:r>
      <w:r>
        <w:t>3</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_Toc15632 </w:instrText>
      </w:r>
      <w:r>
        <w:rPr>
          <w:rFonts w:eastAsiaTheme="minorEastAsia"/>
          <w:highlight w:val="none"/>
        </w:rPr>
        <w:fldChar w:fldCharType="separate"/>
      </w:r>
      <w:r>
        <w:rPr>
          <w:rFonts w:ascii="Times New Roman" w:hAnsi="Times New Roman" w:eastAsiaTheme="minorEastAsia"/>
          <w:szCs w:val="24"/>
          <w:highlight w:val="none"/>
        </w:rPr>
        <w:t>前附表</w:t>
      </w:r>
      <w:r>
        <w:tab/>
      </w:r>
      <w:r>
        <w:fldChar w:fldCharType="begin"/>
      </w:r>
      <w:r>
        <w:instrText xml:space="preserve"> PAGEREF _Toc15632 \h </w:instrText>
      </w:r>
      <w:r>
        <w:fldChar w:fldCharType="separate"/>
      </w:r>
      <w:r>
        <w:t>3</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_Toc31583 </w:instrText>
      </w:r>
      <w:r>
        <w:rPr>
          <w:rFonts w:eastAsiaTheme="minorEastAsia"/>
          <w:highlight w:val="none"/>
        </w:rPr>
        <w:fldChar w:fldCharType="separate"/>
      </w:r>
      <w:r>
        <w:rPr>
          <w:rFonts w:ascii="Times New Roman" w:hAnsi="Times New Roman" w:eastAsiaTheme="minorEastAsia"/>
          <w:szCs w:val="24"/>
          <w:highlight w:val="none"/>
        </w:rPr>
        <w:t>一、总则</w:t>
      </w:r>
      <w:r>
        <w:tab/>
      </w:r>
      <w:r>
        <w:fldChar w:fldCharType="begin"/>
      </w:r>
      <w:r>
        <w:instrText xml:space="preserve"> PAGEREF _Toc31583 \h </w:instrText>
      </w:r>
      <w:r>
        <w:fldChar w:fldCharType="separate"/>
      </w:r>
      <w:r>
        <w:t>5</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_Toc16336 </w:instrText>
      </w:r>
      <w:r>
        <w:rPr>
          <w:rFonts w:eastAsiaTheme="minorEastAsia"/>
          <w:highlight w:val="none"/>
        </w:rPr>
        <w:fldChar w:fldCharType="separate"/>
      </w:r>
      <w:r>
        <w:rPr>
          <w:rFonts w:ascii="Times New Roman" w:hAnsi="Times New Roman" w:eastAsiaTheme="minorEastAsia"/>
          <w:szCs w:val="24"/>
          <w:highlight w:val="none"/>
        </w:rPr>
        <w:t>二、比选文件</w:t>
      </w:r>
      <w:r>
        <w:tab/>
      </w:r>
      <w:r>
        <w:fldChar w:fldCharType="begin"/>
      </w:r>
      <w:r>
        <w:instrText xml:space="preserve"> PAGEREF _Toc16336 \h </w:instrText>
      </w:r>
      <w:r>
        <w:fldChar w:fldCharType="separate"/>
      </w:r>
      <w:r>
        <w:t>5</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_Toc29776 </w:instrText>
      </w:r>
      <w:r>
        <w:rPr>
          <w:rFonts w:eastAsiaTheme="minorEastAsia"/>
          <w:highlight w:val="none"/>
        </w:rPr>
        <w:fldChar w:fldCharType="separate"/>
      </w:r>
      <w:r>
        <w:rPr>
          <w:rFonts w:ascii="Times New Roman" w:hAnsi="Times New Roman" w:eastAsiaTheme="minorEastAsia"/>
          <w:szCs w:val="24"/>
          <w:highlight w:val="none"/>
        </w:rPr>
        <w:t>三、比选报价说明</w:t>
      </w:r>
      <w:r>
        <w:tab/>
      </w:r>
      <w:r>
        <w:fldChar w:fldCharType="begin"/>
      </w:r>
      <w:r>
        <w:instrText xml:space="preserve"> PAGEREF _Toc29776 \h </w:instrText>
      </w:r>
      <w:r>
        <w:fldChar w:fldCharType="separate"/>
      </w:r>
      <w:r>
        <w:t>5</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_Toc4490 </w:instrText>
      </w:r>
      <w:r>
        <w:rPr>
          <w:rFonts w:eastAsiaTheme="minorEastAsia"/>
          <w:highlight w:val="none"/>
        </w:rPr>
        <w:fldChar w:fldCharType="separate"/>
      </w:r>
      <w:r>
        <w:rPr>
          <w:rFonts w:ascii="Times New Roman" w:hAnsi="Times New Roman" w:eastAsiaTheme="minorEastAsia"/>
          <w:szCs w:val="24"/>
          <w:highlight w:val="none"/>
        </w:rPr>
        <w:t>四、比选申请文件的编制</w:t>
      </w:r>
      <w:r>
        <w:tab/>
      </w:r>
      <w:r>
        <w:fldChar w:fldCharType="begin"/>
      </w:r>
      <w:r>
        <w:instrText xml:space="preserve"> PAGEREF _Toc4490 \h </w:instrText>
      </w:r>
      <w:r>
        <w:fldChar w:fldCharType="separate"/>
      </w:r>
      <w:r>
        <w:t>6</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_Toc2337 </w:instrText>
      </w:r>
      <w:r>
        <w:rPr>
          <w:rFonts w:eastAsiaTheme="minorEastAsia"/>
          <w:highlight w:val="none"/>
        </w:rPr>
        <w:fldChar w:fldCharType="separate"/>
      </w:r>
      <w:r>
        <w:rPr>
          <w:rFonts w:ascii="Times New Roman" w:hAnsi="Times New Roman" w:eastAsiaTheme="minorEastAsia"/>
          <w:szCs w:val="24"/>
          <w:highlight w:val="none"/>
        </w:rPr>
        <w:t>五、比选申请文件的递交</w:t>
      </w:r>
      <w:r>
        <w:tab/>
      </w:r>
      <w:r>
        <w:fldChar w:fldCharType="begin"/>
      </w:r>
      <w:r>
        <w:instrText xml:space="preserve"> PAGEREF _Toc2337 \h </w:instrText>
      </w:r>
      <w:r>
        <w:fldChar w:fldCharType="separate"/>
      </w:r>
      <w:r>
        <w:t>7</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_Toc30269 </w:instrText>
      </w:r>
      <w:r>
        <w:rPr>
          <w:rFonts w:eastAsiaTheme="minorEastAsia"/>
          <w:highlight w:val="none"/>
        </w:rPr>
        <w:fldChar w:fldCharType="separate"/>
      </w:r>
      <w:r>
        <w:rPr>
          <w:rFonts w:ascii="Times New Roman" w:hAnsi="Times New Roman" w:eastAsiaTheme="minorEastAsia"/>
          <w:szCs w:val="24"/>
          <w:highlight w:val="none"/>
        </w:rPr>
        <w:t>六、评比</w:t>
      </w:r>
      <w:r>
        <w:tab/>
      </w:r>
      <w:r>
        <w:fldChar w:fldCharType="begin"/>
      </w:r>
      <w:r>
        <w:instrText xml:space="preserve"> PAGEREF _Toc30269 \h </w:instrText>
      </w:r>
      <w:r>
        <w:fldChar w:fldCharType="separate"/>
      </w:r>
      <w:r>
        <w:t>8</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_Toc11826 </w:instrText>
      </w:r>
      <w:r>
        <w:rPr>
          <w:rFonts w:eastAsiaTheme="minorEastAsia"/>
          <w:highlight w:val="none"/>
        </w:rPr>
        <w:fldChar w:fldCharType="separate"/>
      </w:r>
      <w:r>
        <w:rPr>
          <w:rFonts w:ascii="Times New Roman" w:hAnsi="Times New Roman" w:eastAsiaTheme="minorEastAsia"/>
          <w:szCs w:val="24"/>
          <w:highlight w:val="none"/>
        </w:rPr>
        <w:t>七、授予合同</w:t>
      </w:r>
      <w:r>
        <w:tab/>
      </w:r>
      <w:r>
        <w:fldChar w:fldCharType="begin"/>
      </w:r>
      <w:r>
        <w:instrText xml:space="preserve"> PAGEREF _Toc11826 \h </w:instrText>
      </w:r>
      <w:r>
        <w:fldChar w:fldCharType="separate"/>
      </w:r>
      <w:r>
        <w:t>8</w:t>
      </w:r>
      <w:r>
        <w:fldChar w:fldCharType="end"/>
      </w:r>
      <w:r>
        <w:rPr>
          <w:rFonts w:eastAsiaTheme="minorEastAsia"/>
          <w:color w:val="auto"/>
          <w:highlight w:val="none"/>
        </w:rPr>
        <w:fldChar w:fldCharType="end"/>
      </w:r>
    </w:p>
    <w:p>
      <w:pPr>
        <w:pStyle w:val="19"/>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_Toc22437 </w:instrText>
      </w:r>
      <w:r>
        <w:rPr>
          <w:rFonts w:eastAsiaTheme="minorEastAsia"/>
          <w:highlight w:val="none"/>
        </w:rPr>
        <w:fldChar w:fldCharType="separate"/>
      </w:r>
      <w:r>
        <w:rPr>
          <w:rFonts w:eastAsiaTheme="minorEastAsia"/>
          <w:szCs w:val="28"/>
          <w:highlight w:val="none"/>
        </w:rPr>
        <w:t>第三章合同条款</w:t>
      </w:r>
      <w:r>
        <w:tab/>
      </w:r>
      <w:r>
        <w:fldChar w:fldCharType="begin"/>
      </w:r>
      <w:r>
        <w:instrText xml:space="preserve"> PAGEREF _Toc22437 \h </w:instrText>
      </w:r>
      <w:r>
        <w:fldChar w:fldCharType="separate"/>
      </w:r>
      <w:r>
        <w:t>10</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_Toc14791 </w:instrText>
      </w:r>
      <w:r>
        <w:rPr>
          <w:rFonts w:eastAsiaTheme="minorEastAsia"/>
          <w:highlight w:val="none"/>
        </w:rPr>
        <w:fldChar w:fldCharType="separate"/>
      </w:r>
      <w:r>
        <w:rPr>
          <w:rFonts w:ascii="Times New Roman" w:hAnsi="Times New Roman" w:eastAsiaTheme="minorEastAsia"/>
          <w:szCs w:val="28"/>
          <w:highlight w:val="none"/>
        </w:rPr>
        <w:t>工程建设项目招标代理协议书</w:t>
      </w:r>
      <w:r>
        <w:tab/>
      </w:r>
      <w:r>
        <w:fldChar w:fldCharType="begin"/>
      </w:r>
      <w:r>
        <w:instrText xml:space="preserve"> PAGEREF _Toc14791 \h </w:instrText>
      </w:r>
      <w:r>
        <w:fldChar w:fldCharType="separate"/>
      </w:r>
      <w:r>
        <w:t>10</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_Toc16545 </w:instrText>
      </w:r>
      <w:r>
        <w:rPr>
          <w:rFonts w:eastAsiaTheme="minorEastAsia"/>
          <w:highlight w:val="none"/>
        </w:rPr>
        <w:fldChar w:fldCharType="separate"/>
      </w:r>
      <w:r>
        <w:rPr>
          <w:rFonts w:ascii="Times New Roman" w:hAnsi="Times New Roman" w:eastAsiaTheme="minorEastAsia"/>
          <w:szCs w:val="24"/>
          <w:highlight w:val="none"/>
        </w:rPr>
        <w:t>第一部分通用条款</w:t>
      </w:r>
      <w:r>
        <w:tab/>
      </w:r>
      <w:r>
        <w:fldChar w:fldCharType="begin"/>
      </w:r>
      <w:r>
        <w:instrText xml:space="preserve"> PAGEREF _Toc16545 \h </w:instrText>
      </w:r>
      <w:r>
        <w:fldChar w:fldCharType="separate"/>
      </w:r>
      <w:r>
        <w:t>13</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_Toc2627 </w:instrText>
      </w:r>
      <w:r>
        <w:rPr>
          <w:rFonts w:eastAsiaTheme="minorEastAsia"/>
          <w:highlight w:val="none"/>
        </w:rPr>
        <w:fldChar w:fldCharType="separate"/>
      </w:r>
      <w:r>
        <w:rPr>
          <w:rFonts w:ascii="Times New Roman" w:hAnsi="Times New Roman" w:eastAsiaTheme="minorEastAsia"/>
          <w:szCs w:val="24"/>
          <w:highlight w:val="none"/>
        </w:rPr>
        <w:t>第二部分专用条款</w:t>
      </w:r>
      <w:r>
        <w:tab/>
      </w:r>
      <w:r>
        <w:fldChar w:fldCharType="begin"/>
      </w:r>
      <w:r>
        <w:instrText xml:space="preserve"> PAGEREF _Toc2627 \h </w:instrText>
      </w:r>
      <w:r>
        <w:fldChar w:fldCharType="separate"/>
      </w:r>
      <w:r>
        <w:t>20</w:t>
      </w:r>
      <w:r>
        <w:fldChar w:fldCharType="end"/>
      </w:r>
      <w:r>
        <w:rPr>
          <w:rFonts w:eastAsiaTheme="minorEastAsia"/>
          <w:color w:val="auto"/>
          <w:highlight w:val="none"/>
        </w:rPr>
        <w:fldChar w:fldCharType="end"/>
      </w:r>
    </w:p>
    <w:p>
      <w:pPr>
        <w:pStyle w:val="19"/>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_Toc8451 </w:instrText>
      </w:r>
      <w:r>
        <w:rPr>
          <w:rFonts w:eastAsiaTheme="minorEastAsia"/>
          <w:highlight w:val="none"/>
        </w:rPr>
        <w:fldChar w:fldCharType="separate"/>
      </w:r>
      <w:r>
        <w:rPr>
          <w:rFonts w:eastAsiaTheme="minorEastAsia"/>
          <w:szCs w:val="28"/>
          <w:highlight w:val="none"/>
        </w:rPr>
        <w:t>第四章比选申请文件格式</w:t>
      </w:r>
      <w:r>
        <w:tab/>
      </w:r>
      <w:r>
        <w:fldChar w:fldCharType="begin"/>
      </w:r>
      <w:r>
        <w:instrText xml:space="preserve"> PAGEREF _Toc8451 \h </w:instrText>
      </w:r>
      <w:r>
        <w:fldChar w:fldCharType="separate"/>
      </w:r>
      <w:r>
        <w:t>25</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_Toc5950 </w:instrText>
      </w:r>
      <w:r>
        <w:rPr>
          <w:rFonts w:eastAsiaTheme="minorEastAsia"/>
          <w:highlight w:val="none"/>
        </w:rPr>
        <w:fldChar w:fldCharType="separate"/>
      </w:r>
      <w:r>
        <w:rPr>
          <w:rFonts w:ascii="Times New Roman" w:hAnsi="Times New Roman" w:eastAsiaTheme="minorEastAsia"/>
          <w:szCs w:val="28"/>
          <w:highlight w:val="none"/>
        </w:rPr>
        <w:t>一、</w:t>
      </w:r>
      <w:r>
        <w:rPr>
          <w:rFonts w:ascii="Times New Roman" w:hAnsi="Times New Roman" w:eastAsiaTheme="minorEastAsia"/>
          <w:highlight w:val="none"/>
        </w:rPr>
        <w:t>报价部分格式</w:t>
      </w:r>
      <w:r>
        <w:tab/>
      </w:r>
      <w:r>
        <w:fldChar w:fldCharType="begin"/>
      </w:r>
      <w:r>
        <w:instrText xml:space="preserve"> PAGEREF _Toc5950 \h </w:instrText>
      </w:r>
      <w:r>
        <w:fldChar w:fldCharType="separate"/>
      </w:r>
      <w:r>
        <w:t>26</w:t>
      </w:r>
      <w:r>
        <w:fldChar w:fldCharType="end"/>
      </w:r>
      <w:r>
        <w:rPr>
          <w:rFonts w:eastAsiaTheme="minorEastAsia"/>
          <w:color w:val="auto"/>
          <w:highlight w:val="none"/>
        </w:rPr>
        <w:fldChar w:fldCharType="end"/>
      </w:r>
    </w:p>
    <w:p>
      <w:pPr>
        <w:pStyle w:val="19"/>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_Toc505 </w:instrText>
      </w:r>
      <w:r>
        <w:rPr>
          <w:rFonts w:eastAsiaTheme="minorEastAsia"/>
          <w:highlight w:val="none"/>
        </w:rPr>
        <w:fldChar w:fldCharType="separate"/>
      </w:r>
      <w:r>
        <w:rPr>
          <w:rFonts w:eastAsiaTheme="minorEastAsia"/>
          <w:highlight w:val="none"/>
        </w:rPr>
        <w:t>第五章</w:t>
      </w:r>
      <w:r>
        <w:rPr>
          <w:rFonts w:hint="eastAsia" w:eastAsiaTheme="minorEastAsia"/>
          <w:highlight w:val="none"/>
        </w:rPr>
        <w:t xml:space="preserve">  </w:t>
      </w:r>
      <w:r>
        <w:rPr>
          <w:rFonts w:eastAsiaTheme="minorEastAsia"/>
          <w:highlight w:val="none"/>
        </w:rPr>
        <w:t>评比办法</w:t>
      </w:r>
      <w:r>
        <w:tab/>
      </w:r>
      <w:r>
        <w:fldChar w:fldCharType="begin"/>
      </w:r>
      <w:r>
        <w:instrText xml:space="preserve"> PAGEREF _Toc505 \h </w:instrText>
      </w:r>
      <w:r>
        <w:fldChar w:fldCharType="separate"/>
      </w:r>
      <w:r>
        <w:t>28</w:t>
      </w:r>
      <w:r>
        <w:fldChar w:fldCharType="end"/>
      </w:r>
      <w:r>
        <w:rPr>
          <w:rFonts w:eastAsiaTheme="minorEastAsia"/>
          <w:color w:val="auto"/>
          <w:highlight w:val="none"/>
        </w:rPr>
        <w:fldChar w:fldCharType="end"/>
      </w:r>
    </w:p>
    <w:p>
      <w:pPr>
        <w:pStyle w:val="23"/>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_Toc17493 </w:instrText>
      </w:r>
      <w:r>
        <w:rPr>
          <w:rFonts w:eastAsiaTheme="minorEastAsia"/>
          <w:highlight w:val="none"/>
        </w:rPr>
        <w:fldChar w:fldCharType="separate"/>
      </w:r>
      <w:r>
        <w:rPr>
          <w:rFonts w:ascii="Times New Roman" w:hAnsi="Times New Roman" w:eastAsiaTheme="minorEastAsia"/>
          <w:szCs w:val="24"/>
          <w:highlight w:val="none"/>
        </w:rPr>
        <w:t>一、评比方法</w:t>
      </w:r>
      <w:r>
        <w:tab/>
      </w:r>
      <w:r>
        <w:fldChar w:fldCharType="begin"/>
      </w:r>
      <w:r>
        <w:instrText xml:space="preserve"> PAGEREF _Toc17493 \h </w:instrText>
      </w:r>
      <w:r>
        <w:fldChar w:fldCharType="separate"/>
      </w:r>
      <w:r>
        <w:t>28</w:t>
      </w:r>
      <w:r>
        <w:fldChar w:fldCharType="end"/>
      </w:r>
      <w:r>
        <w:rPr>
          <w:rFonts w:eastAsiaTheme="minorEastAsia"/>
          <w:color w:val="auto"/>
          <w:highlight w:val="none"/>
        </w:rPr>
        <w:fldChar w:fldCharType="end"/>
      </w:r>
    </w:p>
    <w:p>
      <w:pPr>
        <w:pStyle w:val="19"/>
        <w:tabs>
          <w:tab w:val="right" w:leader="dot" w:pos="9070"/>
        </w:tabs>
      </w:pPr>
      <w:r>
        <w:rPr>
          <w:rFonts w:eastAsiaTheme="minorEastAsia"/>
          <w:color w:val="auto"/>
          <w:highlight w:val="none"/>
        </w:rPr>
        <w:fldChar w:fldCharType="begin"/>
      </w:r>
      <w:r>
        <w:rPr>
          <w:rFonts w:eastAsiaTheme="minorEastAsia"/>
          <w:highlight w:val="none"/>
        </w:rPr>
        <w:instrText xml:space="preserve"> HYPERLINK \l _Toc31445 </w:instrText>
      </w:r>
      <w:r>
        <w:rPr>
          <w:rFonts w:eastAsiaTheme="minorEastAsia"/>
          <w:highlight w:val="none"/>
        </w:rPr>
        <w:fldChar w:fldCharType="separate"/>
      </w:r>
      <w:r>
        <w:rPr>
          <w:rFonts w:hint="eastAsia" w:eastAsiaTheme="minorEastAsia"/>
        </w:rPr>
        <w:t xml:space="preserve">第六章 </w:t>
      </w:r>
      <w:r>
        <w:rPr>
          <w:rFonts w:hint="eastAsia" w:eastAsiaTheme="minorEastAsia"/>
          <w:highlight w:val="none"/>
        </w:rPr>
        <w:t>附件</w:t>
      </w:r>
      <w:r>
        <w:tab/>
      </w:r>
      <w:r>
        <w:fldChar w:fldCharType="begin"/>
      </w:r>
      <w:r>
        <w:instrText xml:space="preserve"> PAGEREF _Toc31445 \h </w:instrText>
      </w:r>
      <w:r>
        <w:fldChar w:fldCharType="separate"/>
      </w:r>
      <w:r>
        <w:t>30</w:t>
      </w:r>
      <w:r>
        <w:fldChar w:fldCharType="end"/>
      </w:r>
      <w:r>
        <w:rPr>
          <w:rFonts w:eastAsiaTheme="minorEastAsia"/>
          <w:color w:val="auto"/>
          <w:highlight w:val="none"/>
        </w:rPr>
        <w:fldChar w:fldCharType="end"/>
      </w:r>
    </w:p>
    <w:p>
      <w:pPr>
        <w:rPr>
          <w:rFonts w:eastAsiaTheme="minorEastAsia"/>
          <w:color w:val="auto"/>
          <w:szCs w:val="28"/>
          <w:highlight w:val="none"/>
        </w:rPr>
      </w:pPr>
      <w:r>
        <w:rPr>
          <w:rFonts w:eastAsiaTheme="minorEastAsia"/>
          <w:color w:val="auto"/>
          <w:highlight w:val="none"/>
        </w:rPr>
        <w:fldChar w:fldCharType="end"/>
      </w:r>
    </w:p>
    <w:p>
      <w:pPr>
        <w:jc w:val="left"/>
        <w:rPr>
          <w:rFonts w:eastAsiaTheme="minorEastAsia"/>
          <w:color w:val="auto"/>
          <w:szCs w:val="28"/>
          <w:highlight w:val="none"/>
        </w:rPr>
      </w:pPr>
    </w:p>
    <w:p>
      <w:pPr>
        <w:jc w:val="center"/>
        <w:rPr>
          <w:rFonts w:eastAsiaTheme="minorEastAsia"/>
          <w:color w:val="auto"/>
          <w:szCs w:val="28"/>
          <w:highlight w:val="none"/>
        </w:rPr>
      </w:pPr>
      <w:bookmarkStart w:id="312" w:name="_GoBack"/>
      <w:bookmarkEnd w:id="312"/>
    </w:p>
    <w:p>
      <w:pPr>
        <w:rPr>
          <w:rFonts w:eastAsiaTheme="minorEastAsia"/>
          <w:color w:val="auto"/>
          <w:szCs w:val="28"/>
          <w:highlight w:val="none"/>
        </w:rPr>
      </w:pPr>
      <w:bookmarkStart w:id="12" w:name="_Toc24559"/>
      <w:bookmarkStart w:id="13" w:name="_Toc526874193"/>
      <w:bookmarkStart w:id="14" w:name="_Toc14897"/>
      <w:bookmarkStart w:id="15" w:name="_Toc14177"/>
      <w:bookmarkStart w:id="16" w:name="_Toc12557"/>
      <w:bookmarkStart w:id="17" w:name="_Toc9092"/>
      <w:bookmarkStart w:id="18" w:name="_Toc32556"/>
      <w:bookmarkStart w:id="19" w:name="_Toc24752"/>
      <w:bookmarkStart w:id="20" w:name="_Toc24235"/>
      <w:bookmarkStart w:id="21" w:name="_Toc20342"/>
      <w:bookmarkStart w:id="22" w:name="_Toc461525294"/>
      <w:bookmarkStart w:id="23" w:name="_Toc27762"/>
      <w:bookmarkStart w:id="24" w:name="_Toc32719"/>
      <w:bookmarkStart w:id="25" w:name="_Toc11052"/>
      <w:bookmarkStart w:id="26" w:name="_Toc30578"/>
      <w:r>
        <w:rPr>
          <w:rFonts w:eastAsiaTheme="minorEastAsia"/>
          <w:color w:val="auto"/>
          <w:szCs w:val="28"/>
          <w:highlight w:val="none"/>
        </w:rPr>
        <w:br w:type="page"/>
      </w:r>
    </w:p>
    <w:bookmarkEnd w:id="12"/>
    <w:bookmarkEnd w:id="13"/>
    <w:p>
      <w:pPr>
        <w:pStyle w:val="3"/>
        <w:spacing w:before="0" w:after="0" w:line="360" w:lineRule="auto"/>
        <w:rPr>
          <w:rFonts w:eastAsiaTheme="minorEastAsia"/>
          <w:color w:val="auto"/>
          <w:szCs w:val="28"/>
          <w:highlight w:val="none"/>
        </w:rPr>
      </w:pPr>
      <w:bookmarkStart w:id="27" w:name="_Toc17288"/>
      <w:r>
        <w:rPr>
          <w:rFonts w:eastAsiaTheme="minorEastAsia"/>
          <w:color w:val="auto"/>
          <w:szCs w:val="28"/>
          <w:highlight w:val="none"/>
        </w:rPr>
        <w:t>第一章比选公告</w:t>
      </w:r>
      <w:bookmarkEnd w:id="27"/>
    </w:p>
    <w:p>
      <w:pPr>
        <w:spacing w:line="400" w:lineRule="exact"/>
        <w:ind w:firstLine="480" w:firstLineChars="200"/>
        <w:rPr>
          <w:rFonts w:eastAsiaTheme="minorEastAsia"/>
          <w:color w:val="auto"/>
          <w:sz w:val="24"/>
          <w:highlight w:val="none"/>
        </w:rPr>
      </w:pPr>
      <w:r>
        <w:rPr>
          <w:rFonts w:eastAsiaTheme="minorEastAsia"/>
          <w:color w:val="auto"/>
          <w:sz w:val="24"/>
          <w:highlight w:val="none"/>
        </w:rPr>
        <w:t>现就</w:t>
      </w:r>
      <w:r>
        <w:rPr>
          <w:rFonts w:hint="eastAsia" w:eastAsiaTheme="minorEastAsia"/>
          <w:color w:val="auto"/>
          <w:sz w:val="24"/>
          <w:highlight w:val="none"/>
        </w:rPr>
        <w:t>桂林市轨道交通集团有限公司2021年第</w:t>
      </w:r>
      <w:r>
        <w:rPr>
          <w:rFonts w:hint="eastAsia" w:eastAsiaTheme="minorEastAsia"/>
          <w:color w:val="auto"/>
          <w:sz w:val="24"/>
          <w:highlight w:val="none"/>
          <w:lang w:val="en-US" w:eastAsia="zh-CN"/>
        </w:rPr>
        <w:t>四</w:t>
      </w:r>
      <w:r>
        <w:rPr>
          <w:rFonts w:hint="eastAsia" w:eastAsiaTheme="minorEastAsia"/>
          <w:color w:val="auto"/>
          <w:sz w:val="24"/>
          <w:highlight w:val="none"/>
        </w:rPr>
        <w:t>批次招标代理机构比选招标代理机构</w:t>
      </w:r>
      <w:r>
        <w:rPr>
          <w:rFonts w:eastAsiaTheme="minorEastAsia"/>
          <w:color w:val="auto"/>
          <w:sz w:val="24"/>
          <w:highlight w:val="none"/>
        </w:rPr>
        <w:t>进行公开比选，欢迎符合条件的潜在比选申请人参与比选。</w:t>
      </w:r>
    </w:p>
    <w:p>
      <w:pPr>
        <w:pStyle w:val="2"/>
        <w:spacing w:before="0" w:after="0" w:line="400" w:lineRule="exact"/>
        <w:rPr>
          <w:rFonts w:ascii="Times New Roman" w:hAnsi="Times New Roman" w:eastAsiaTheme="minorEastAsia"/>
          <w:b/>
          <w:color w:val="auto"/>
          <w:sz w:val="24"/>
          <w:szCs w:val="24"/>
          <w:highlight w:val="none"/>
        </w:rPr>
      </w:pPr>
      <w:bookmarkStart w:id="28" w:name="_Toc510002133"/>
      <w:bookmarkStart w:id="29" w:name="_Toc526874194"/>
      <w:bookmarkStart w:id="30" w:name="_Toc19339"/>
      <w:bookmarkStart w:id="31" w:name="_Toc32199"/>
      <w:r>
        <w:rPr>
          <w:rFonts w:ascii="Times New Roman" w:hAnsi="Times New Roman" w:eastAsiaTheme="minorEastAsia"/>
          <w:b/>
          <w:color w:val="auto"/>
          <w:sz w:val="24"/>
          <w:szCs w:val="24"/>
          <w:highlight w:val="none"/>
        </w:rPr>
        <w:t>一、项目</w:t>
      </w:r>
      <w:bookmarkEnd w:id="28"/>
      <w:r>
        <w:rPr>
          <w:rFonts w:ascii="Times New Roman" w:hAnsi="Times New Roman" w:eastAsiaTheme="minorEastAsia"/>
          <w:b/>
          <w:color w:val="auto"/>
          <w:sz w:val="24"/>
          <w:szCs w:val="24"/>
          <w:highlight w:val="none"/>
        </w:rPr>
        <w:t>概况</w:t>
      </w:r>
      <w:bookmarkEnd w:id="29"/>
      <w:bookmarkEnd w:id="30"/>
      <w:bookmarkEnd w:id="31"/>
    </w:p>
    <w:p>
      <w:pPr>
        <w:spacing w:line="400" w:lineRule="exact"/>
        <w:ind w:firstLine="424" w:firstLineChars="177"/>
        <w:rPr>
          <w:rFonts w:eastAsiaTheme="minorEastAsia"/>
          <w:b/>
          <w:bCs/>
          <w:color w:val="auto"/>
          <w:kern w:val="0"/>
          <w:sz w:val="28"/>
          <w:szCs w:val="28"/>
          <w:highlight w:val="none"/>
        </w:rPr>
      </w:pPr>
      <w:r>
        <w:rPr>
          <w:rFonts w:eastAsiaTheme="minorEastAsia"/>
          <w:color w:val="auto"/>
          <w:sz w:val="24"/>
          <w:highlight w:val="none"/>
        </w:rPr>
        <w:t>1、项目名称：</w:t>
      </w:r>
      <w:r>
        <w:rPr>
          <w:rFonts w:hint="eastAsia" w:eastAsiaTheme="minorEastAsia"/>
          <w:color w:val="auto"/>
          <w:sz w:val="24"/>
          <w:highlight w:val="none"/>
        </w:rPr>
        <w:t>桂林市轨道交通集团有限公司2021年</w:t>
      </w:r>
      <w:r>
        <w:rPr>
          <w:rFonts w:hint="eastAsia" w:eastAsiaTheme="minorEastAsia"/>
          <w:color w:val="auto"/>
          <w:sz w:val="24"/>
          <w:highlight w:val="none"/>
          <w:lang w:eastAsia="zh-CN"/>
        </w:rPr>
        <w:t>第四批</w:t>
      </w:r>
      <w:r>
        <w:rPr>
          <w:rFonts w:hint="eastAsia" w:eastAsiaTheme="minorEastAsia"/>
          <w:color w:val="auto"/>
          <w:sz w:val="24"/>
          <w:highlight w:val="none"/>
        </w:rPr>
        <w:t>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2、比选范围</w:t>
      </w:r>
      <w:r>
        <w:rPr>
          <w:rFonts w:hint="eastAsia" w:eastAsiaTheme="minorEastAsia"/>
          <w:color w:val="auto"/>
          <w:sz w:val="24"/>
          <w:highlight w:val="none"/>
        </w:rPr>
        <w:t>及工作内容</w:t>
      </w:r>
      <w:r>
        <w:rPr>
          <w:rFonts w:eastAsiaTheme="minorEastAsia"/>
          <w:color w:val="auto"/>
          <w:sz w:val="24"/>
          <w:highlight w:val="none"/>
        </w:rPr>
        <w:t>：详见</w:t>
      </w:r>
      <w:r>
        <w:rPr>
          <w:rFonts w:hint="eastAsia" w:eastAsiaTheme="minorEastAsia"/>
          <w:color w:val="auto"/>
          <w:sz w:val="24"/>
          <w:highlight w:val="none"/>
        </w:rPr>
        <w:t>本公告附</w:t>
      </w:r>
      <w:r>
        <w:rPr>
          <w:rFonts w:eastAsiaTheme="minorEastAsia"/>
          <w:color w:val="auto"/>
          <w:sz w:val="24"/>
          <w:highlight w:val="none"/>
        </w:rPr>
        <w:t>表。</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3、项目概况：详见</w:t>
      </w:r>
      <w:r>
        <w:rPr>
          <w:rFonts w:hint="eastAsia" w:eastAsiaTheme="minorEastAsia"/>
          <w:color w:val="auto"/>
          <w:sz w:val="24"/>
          <w:highlight w:val="none"/>
        </w:rPr>
        <w:t>本公告附</w:t>
      </w:r>
      <w:r>
        <w:rPr>
          <w:rFonts w:eastAsiaTheme="minorEastAsia"/>
          <w:color w:val="auto"/>
          <w:sz w:val="24"/>
          <w:highlight w:val="none"/>
        </w:rPr>
        <w:t>表，下表中内容，与实际招标情况不一致时，以实际招标情况为准。</w:t>
      </w:r>
    </w:p>
    <w:p>
      <w:pPr>
        <w:pStyle w:val="2"/>
        <w:spacing w:before="0" w:after="0" w:line="400" w:lineRule="exact"/>
        <w:rPr>
          <w:rFonts w:ascii="Times New Roman" w:hAnsi="Times New Roman" w:eastAsiaTheme="minorEastAsia"/>
          <w:b/>
          <w:color w:val="auto"/>
          <w:sz w:val="24"/>
          <w:szCs w:val="24"/>
          <w:highlight w:val="none"/>
        </w:rPr>
      </w:pPr>
      <w:bookmarkStart w:id="32" w:name="_Toc526874195"/>
      <w:bookmarkStart w:id="33" w:name="_Toc510002134"/>
      <w:bookmarkStart w:id="34" w:name="_Toc23710"/>
      <w:bookmarkStart w:id="35" w:name="_Toc21492"/>
      <w:r>
        <w:rPr>
          <w:rFonts w:ascii="Times New Roman" w:hAnsi="Times New Roman" w:eastAsiaTheme="minorEastAsia"/>
          <w:b/>
          <w:color w:val="auto"/>
          <w:sz w:val="24"/>
          <w:szCs w:val="24"/>
          <w:highlight w:val="none"/>
        </w:rPr>
        <w:t>二、比选申请人资格要求</w:t>
      </w:r>
      <w:bookmarkEnd w:id="32"/>
      <w:bookmarkEnd w:id="33"/>
      <w:bookmarkEnd w:id="34"/>
      <w:bookmarkEnd w:id="35"/>
    </w:p>
    <w:p>
      <w:pPr>
        <w:spacing w:line="400" w:lineRule="exact"/>
        <w:ind w:firstLine="480" w:firstLineChars="200"/>
        <w:rPr>
          <w:rFonts w:eastAsiaTheme="minorEastAsia"/>
          <w:color w:val="auto"/>
          <w:sz w:val="24"/>
          <w:highlight w:val="none"/>
        </w:rPr>
      </w:pPr>
      <w:bookmarkStart w:id="36" w:name="_Hlk526871340"/>
      <w:r>
        <w:rPr>
          <w:rFonts w:eastAsiaTheme="minorEastAsia"/>
          <w:color w:val="auto"/>
          <w:sz w:val="24"/>
          <w:highlight w:val="none"/>
        </w:rPr>
        <w:t>1、参选人须为</w:t>
      </w:r>
      <w:r>
        <w:rPr>
          <w:rFonts w:hint="eastAsia" w:eastAsiaTheme="minorEastAsia"/>
          <w:color w:val="auto"/>
          <w:sz w:val="24"/>
          <w:highlight w:val="none"/>
        </w:rPr>
        <w:t>桂林市轨道交通集团有限公司代理库内成员单位，具体详见后附名单</w:t>
      </w:r>
      <w:r>
        <w:rPr>
          <w:rFonts w:eastAsiaTheme="minorEastAsia"/>
          <w:color w:val="auto"/>
          <w:sz w:val="24"/>
          <w:highlight w:val="none"/>
        </w:rPr>
        <w:t>。</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bookmarkEnd w:id="36"/>
    <w:p>
      <w:pPr>
        <w:pStyle w:val="2"/>
        <w:spacing w:before="0" w:after="0" w:line="400" w:lineRule="exact"/>
        <w:rPr>
          <w:rFonts w:ascii="Times New Roman" w:hAnsi="Times New Roman" w:eastAsiaTheme="minorEastAsia"/>
          <w:b/>
          <w:color w:val="auto"/>
          <w:sz w:val="24"/>
          <w:szCs w:val="24"/>
          <w:highlight w:val="none"/>
        </w:rPr>
      </w:pPr>
      <w:bookmarkStart w:id="37" w:name="_Toc526874196"/>
      <w:bookmarkStart w:id="38" w:name="_Toc510002135"/>
      <w:bookmarkStart w:id="39" w:name="_Toc3809"/>
      <w:bookmarkStart w:id="40" w:name="_Toc3932"/>
      <w:r>
        <w:rPr>
          <w:rFonts w:ascii="Times New Roman" w:hAnsi="Times New Roman" w:eastAsiaTheme="minorEastAsia"/>
          <w:b/>
          <w:color w:val="auto"/>
          <w:sz w:val="24"/>
          <w:szCs w:val="24"/>
          <w:highlight w:val="none"/>
        </w:rPr>
        <w:t>三、比选保证金</w:t>
      </w:r>
      <w:bookmarkEnd w:id="37"/>
      <w:bookmarkEnd w:id="38"/>
      <w:bookmarkEnd w:id="39"/>
      <w:bookmarkEnd w:id="40"/>
    </w:p>
    <w:p>
      <w:pPr>
        <w:spacing w:line="400" w:lineRule="exact"/>
        <w:ind w:firstLine="480" w:firstLineChars="200"/>
        <w:rPr>
          <w:rFonts w:eastAsiaTheme="minorEastAsia"/>
          <w:bCs/>
          <w:color w:val="auto"/>
          <w:sz w:val="24"/>
          <w:highlight w:val="none"/>
        </w:rPr>
      </w:pPr>
      <w:r>
        <w:rPr>
          <w:rFonts w:eastAsiaTheme="minorEastAsia"/>
          <w:color w:val="auto"/>
          <w:sz w:val="24"/>
          <w:highlight w:val="none"/>
        </w:rPr>
        <w:t>无。</w:t>
      </w:r>
    </w:p>
    <w:p>
      <w:pPr>
        <w:pStyle w:val="2"/>
        <w:spacing w:before="0" w:after="0" w:line="400" w:lineRule="exact"/>
        <w:rPr>
          <w:rFonts w:ascii="Times New Roman" w:hAnsi="Times New Roman" w:eastAsiaTheme="minorEastAsia"/>
          <w:b/>
          <w:color w:val="auto"/>
          <w:sz w:val="24"/>
          <w:szCs w:val="24"/>
          <w:highlight w:val="none"/>
        </w:rPr>
      </w:pPr>
      <w:bookmarkStart w:id="41" w:name="_Toc526874197"/>
      <w:bookmarkStart w:id="42" w:name="_Toc510002136"/>
      <w:bookmarkStart w:id="43" w:name="_Toc25619"/>
      <w:bookmarkStart w:id="44" w:name="_Toc32076"/>
      <w:r>
        <w:rPr>
          <w:rFonts w:ascii="Times New Roman" w:hAnsi="Times New Roman" w:eastAsiaTheme="minorEastAsia"/>
          <w:b/>
          <w:color w:val="auto"/>
          <w:sz w:val="24"/>
          <w:szCs w:val="24"/>
          <w:highlight w:val="none"/>
        </w:rPr>
        <w:t>四、比选文件的获取</w:t>
      </w:r>
      <w:bookmarkEnd w:id="41"/>
      <w:bookmarkEnd w:id="42"/>
      <w:bookmarkEnd w:id="43"/>
      <w:bookmarkEnd w:id="44"/>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本项目不发放纸质比选文件，比选申请人</w:t>
      </w:r>
      <w:r>
        <w:rPr>
          <w:rFonts w:hint="eastAsia" w:ascii="宋体" w:hAnsi="宋体" w:cs="宋体"/>
          <w:color w:val="000000"/>
          <w:kern w:val="0"/>
          <w:sz w:val="24"/>
          <w:szCs w:val="21"/>
          <w:highlight w:val="none"/>
          <w:shd w:val="clear" w:color="auto" w:fill="FFFFFF"/>
        </w:rPr>
        <w:t xml:space="preserve">潜在供应商自行到 </w:t>
      </w:r>
      <w:r>
        <w:rPr>
          <w:rFonts w:hint="eastAsia" w:ascii="宋体" w:hAnsi="宋体" w:cs="宋体"/>
          <w:b/>
          <w:bCs/>
          <w:color w:val="000000"/>
          <w:kern w:val="0"/>
          <w:sz w:val="24"/>
          <w:szCs w:val="21"/>
          <w:highlight w:val="none"/>
          <w:u w:val="single"/>
          <w:shd w:val="clear" w:color="auto" w:fill="FFFFFF"/>
        </w:rPr>
        <w:t xml:space="preserve">桂林市秀峰区翠竹路75号鼎富大厦B座14楼 </w:t>
      </w:r>
      <w:r>
        <w:rPr>
          <w:rFonts w:hint="eastAsia" w:ascii="宋体" w:hAnsi="宋体" w:cs="宋体"/>
          <w:color w:val="000000"/>
          <w:kern w:val="0"/>
          <w:sz w:val="24"/>
          <w:szCs w:val="21"/>
          <w:highlight w:val="none"/>
          <w:u w:val="single"/>
          <w:shd w:val="clear" w:color="auto" w:fill="FFFFFF"/>
        </w:rPr>
        <w:t>免费</w:t>
      </w:r>
      <w:r>
        <w:rPr>
          <w:rFonts w:hint="eastAsia" w:ascii="宋体" w:hAnsi="宋体"/>
          <w:color w:val="000000"/>
          <w:sz w:val="24"/>
          <w:szCs w:val="21"/>
          <w:highlight w:val="none"/>
        </w:rPr>
        <w:t>领取，或通过</w:t>
      </w:r>
      <w:r>
        <w:rPr>
          <w:rFonts w:hint="eastAsia" w:ascii="宋体" w:hAnsi="宋体"/>
          <w:b/>
          <w:color w:val="000000"/>
          <w:sz w:val="24"/>
          <w:szCs w:val="21"/>
          <w:highlight w:val="none"/>
        </w:rPr>
        <w:t>电子邮件方式</w:t>
      </w:r>
      <w:r>
        <w:rPr>
          <w:rFonts w:hint="eastAsia" w:ascii="宋体" w:hAnsi="宋体"/>
          <w:color w:val="000000"/>
          <w:sz w:val="24"/>
          <w:szCs w:val="21"/>
          <w:highlight w:val="none"/>
        </w:rPr>
        <w:t>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eastAsiaTheme="minorEastAsia"/>
          <w:color w:val="auto"/>
          <w:sz w:val="24"/>
          <w:highlight w:val="none"/>
        </w:rPr>
        <w:t>。</w:t>
      </w:r>
    </w:p>
    <w:p>
      <w:pPr>
        <w:pStyle w:val="2"/>
        <w:spacing w:before="0" w:after="0" w:line="400" w:lineRule="exact"/>
        <w:rPr>
          <w:rFonts w:ascii="Times New Roman" w:hAnsi="Times New Roman" w:eastAsiaTheme="minorEastAsia"/>
          <w:b/>
          <w:color w:val="auto"/>
          <w:sz w:val="24"/>
          <w:szCs w:val="24"/>
          <w:highlight w:val="none"/>
        </w:rPr>
      </w:pPr>
      <w:bookmarkStart w:id="45" w:name="_Toc2877"/>
      <w:bookmarkStart w:id="46" w:name="_Toc526874198"/>
      <w:bookmarkStart w:id="47" w:name="_Toc510002137"/>
      <w:bookmarkStart w:id="48" w:name="_Toc1334"/>
      <w:r>
        <w:rPr>
          <w:rFonts w:ascii="Times New Roman" w:hAnsi="Times New Roman" w:eastAsiaTheme="minorEastAsia"/>
          <w:b/>
          <w:color w:val="auto"/>
          <w:sz w:val="24"/>
          <w:szCs w:val="24"/>
          <w:highlight w:val="none"/>
        </w:rPr>
        <w:t>五、比选申请文件的递交</w:t>
      </w:r>
      <w:bookmarkEnd w:id="45"/>
      <w:bookmarkEnd w:id="46"/>
      <w:bookmarkEnd w:id="47"/>
      <w:bookmarkEnd w:id="48"/>
    </w:p>
    <w:p>
      <w:pPr>
        <w:spacing w:line="400" w:lineRule="exact"/>
        <w:ind w:firstLine="480" w:firstLineChars="200"/>
        <w:rPr>
          <w:rFonts w:eastAsiaTheme="minorEastAsia"/>
          <w:color w:val="auto"/>
          <w:sz w:val="24"/>
          <w:highlight w:val="none"/>
        </w:rPr>
      </w:pPr>
      <w:r>
        <w:rPr>
          <w:rFonts w:eastAsiaTheme="minorEastAsia"/>
          <w:color w:val="auto"/>
          <w:sz w:val="24"/>
          <w:highlight w:val="none"/>
        </w:rPr>
        <w:t>1、比选申请文件递交截止时间：</w:t>
      </w:r>
      <w:r>
        <w:rPr>
          <w:rFonts w:hint="eastAsia" w:eastAsiaTheme="minorEastAsia"/>
          <w:color w:val="auto"/>
          <w:sz w:val="24"/>
          <w:highlight w:val="none"/>
        </w:rPr>
        <w:t>2021年</w:t>
      </w:r>
      <w:r>
        <w:rPr>
          <w:rFonts w:hint="eastAsia" w:eastAsiaTheme="minorEastAsia"/>
          <w:color w:val="auto"/>
          <w:sz w:val="24"/>
          <w:highlight w:val="none"/>
          <w:lang w:val="en-US" w:eastAsia="zh-CN"/>
        </w:rPr>
        <w:t>9</w:t>
      </w:r>
      <w:r>
        <w:rPr>
          <w:rFonts w:hint="eastAsia" w:eastAsiaTheme="minorEastAsia"/>
          <w:color w:val="auto"/>
          <w:sz w:val="24"/>
          <w:highlight w:val="none"/>
        </w:rPr>
        <w:t>月</w:t>
      </w:r>
      <w:r>
        <w:rPr>
          <w:rFonts w:hint="eastAsia" w:eastAsiaTheme="minorEastAsia"/>
          <w:color w:val="auto"/>
          <w:sz w:val="24"/>
          <w:highlight w:val="none"/>
          <w:lang w:val="en-US" w:eastAsia="zh-CN"/>
        </w:rPr>
        <w:t>18</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时30分</w:t>
      </w:r>
    </w:p>
    <w:p>
      <w:pPr>
        <w:spacing w:line="400" w:lineRule="exact"/>
        <w:ind w:firstLine="480" w:firstLineChars="200"/>
        <w:rPr>
          <w:rFonts w:eastAsiaTheme="minorEastAsia"/>
          <w:color w:val="auto"/>
          <w:sz w:val="24"/>
          <w:highlight w:val="none"/>
        </w:rPr>
      </w:pPr>
      <w:r>
        <w:rPr>
          <w:rFonts w:eastAsiaTheme="minorEastAsia"/>
          <w:color w:val="auto"/>
          <w:sz w:val="24"/>
          <w:highlight w:val="none"/>
        </w:rPr>
        <w:t>2、比选申请文件递交地点：</w:t>
      </w:r>
      <w:r>
        <w:rPr>
          <w:rFonts w:hint="eastAsia" w:eastAsiaTheme="minorEastAsia"/>
          <w:color w:val="auto"/>
          <w:sz w:val="24"/>
          <w:highlight w:val="none"/>
        </w:rPr>
        <w:t>桂林市秀峰区75号鼎富大厦B座14楼</w:t>
      </w:r>
      <w:r>
        <w:rPr>
          <w:rFonts w:hint="eastAsia" w:eastAsiaTheme="minorEastAsia"/>
          <w:color w:val="auto"/>
          <w:sz w:val="24"/>
          <w:highlight w:val="none"/>
          <w:lang w:eastAsia="zh-CN"/>
        </w:rPr>
        <w:t>，</w:t>
      </w:r>
      <w:r>
        <w:rPr>
          <w:rFonts w:hint="eastAsia" w:eastAsiaTheme="minorEastAsia"/>
          <w:color w:val="auto"/>
          <w:sz w:val="24"/>
          <w:highlight w:val="none"/>
          <w:lang w:val="en-US" w:eastAsia="zh-CN"/>
        </w:rPr>
        <w:t>或将盖章版扫描件发送至公司邮箱</w:t>
      </w:r>
      <w:r>
        <w:rPr>
          <w:rFonts w:hint="eastAsia" w:eastAsiaTheme="minorEastAsia"/>
          <w:color w:val="auto"/>
          <w:sz w:val="24"/>
          <w:highlight w:val="none"/>
          <w:u w:val="single"/>
          <w:lang w:val="en-US" w:eastAsia="zh-CN"/>
        </w:rPr>
        <w:t>glgdjtjt@163.com</w:t>
      </w:r>
      <w:r>
        <w:rPr>
          <w:rFonts w:hint="eastAsia" w:eastAsiaTheme="minorEastAsia"/>
          <w:color w:val="auto"/>
          <w:sz w:val="24"/>
          <w:highlight w:val="none"/>
          <w:lang w:val="en-US" w:eastAsia="zh-CN"/>
        </w:rPr>
        <w:t>。</w:t>
      </w:r>
    </w:p>
    <w:p>
      <w:pPr>
        <w:pStyle w:val="2"/>
        <w:spacing w:before="0" w:after="0" w:line="400" w:lineRule="exact"/>
        <w:rPr>
          <w:rFonts w:ascii="Times New Roman" w:hAnsi="Times New Roman" w:eastAsiaTheme="minorEastAsia"/>
          <w:b/>
          <w:color w:val="auto"/>
          <w:sz w:val="24"/>
          <w:szCs w:val="24"/>
          <w:highlight w:val="none"/>
        </w:rPr>
      </w:pPr>
      <w:bookmarkStart w:id="49" w:name="_Toc526874199"/>
      <w:bookmarkStart w:id="50" w:name="_Toc8562"/>
      <w:bookmarkStart w:id="51" w:name="_Toc510002138"/>
      <w:bookmarkStart w:id="52" w:name="_Toc8630"/>
      <w:r>
        <w:rPr>
          <w:rFonts w:ascii="Times New Roman" w:hAnsi="Times New Roman" w:eastAsiaTheme="minorEastAsia"/>
          <w:b/>
          <w:color w:val="auto"/>
          <w:sz w:val="24"/>
          <w:szCs w:val="24"/>
          <w:highlight w:val="none"/>
        </w:rPr>
        <w:t>六、比选人联系方式</w:t>
      </w:r>
      <w:bookmarkEnd w:id="49"/>
      <w:bookmarkEnd w:id="50"/>
      <w:bookmarkEnd w:id="51"/>
      <w:bookmarkEnd w:id="52"/>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比选人：</w:t>
      </w:r>
      <w:r>
        <w:rPr>
          <w:rFonts w:hint="eastAsia" w:eastAsiaTheme="minorEastAsia"/>
          <w:color w:val="auto"/>
          <w:sz w:val="24"/>
          <w:highlight w:val="none"/>
        </w:rPr>
        <w:t xml:space="preserve"> 桂林市轨道交通集团有限公司</w:t>
      </w:r>
    </w:p>
    <w:p>
      <w:pPr>
        <w:spacing w:line="400" w:lineRule="exact"/>
        <w:ind w:firstLine="480" w:firstLineChars="200"/>
        <w:rPr>
          <w:rFonts w:eastAsiaTheme="minorEastAsia"/>
          <w:color w:val="auto"/>
          <w:sz w:val="24"/>
          <w:highlight w:val="none"/>
        </w:rPr>
      </w:pPr>
      <w:bookmarkStart w:id="53" w:name="_Toc31724"/>
      <w:r>
        <w:rPr>
          <w:rFonts w:hint="eastAsia" w:eastAsiaTheme="minorEastAsia"/>
          <w:color w:val="auto"/>
          <w:sz w:val="24"/>
          <w:highlight w:val="none"/>
        </w:rPr>
        <w:t xml:space="preserve">地    址：桂林市秀峰区75号鼎富大厦B座14楼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联 系 人：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电    话：            </w:t>
      </w:r>
    </w:p>
    <w:p>
      <w:pPr>
        <w:pStyle w:val="2"/>
        <w:spacing w:before="0" w:after="0" w:line="400" w:lineRule="exact"/>
        <w:rPr>
          <w:rFonts w:ascii="Times New Roman" w:hAnsi="Times New Roman" w:eastAsiaTheme="minorEastAsia"/>
          <w:b/>
          <w:color w:val="auto"/>
          <w:sz w:val="24"/>
          <w:szCs w:val="24"/>
          <w:highlight w:val="none"/>
        </w:rPr>
      </w:pPr>
      <w:bookmarkStart w:id="54" w:name="_Toc29486"/>
      <w:r>
        <w:rPr>
          <w:rFonts w:hint="eastAsia" w:ascii="Times New Roman" w:hAnsi="Times New Roman" w:eastAsiaTheme="minorEastAsia"/>
          <w:b/>
          <w:color w:val="auto"/>
          <w:sz w:val="24"/>
          <w:szCs w:val="24"/>
          <w:highlight w:val="none"/>
        </w:rPr>
        <w:t>七、公告附表</w:t>
      </w:r>
      <w:bookmarkEnd w:id="53"/>
      <w:bookmarkEnd w:id="54"/>
    </w:p>
    <w:p>
      <w:pPr>
        <w:spacing w:line="400" w:lineRule="exact"/>
        <w:ind w:firstLine="480" w:firstLineChars="200"/>
        <w:jc w:val="left"/>
        <w:rPr>
          <w:color w:val="auto"/>
          <w:highlight w:val="none"/>
        </w:rPr>
      </w:pPr>
      <w:r>
        <w:rPr>
          <w:rFonts w:hint="eastAsia" w:eastAsiaTheme="minorEastAsia"/>
          <w:color w:val="auto"/>
          <w:sz w:val="24"/>
          <w:highlight w:val="none"/>
        </w:rPr>
        <w:t>《比选范围、工作内容和类似项目一览表》</w:t>
      </w:r>
    </w:p>
    <w:p>
      <w:pPr>
        <w:spacing w:line="400" w:lineRule="exact"/>
        <w:ind w:firstLine="480" w:firstLineChars="200"/>
        <w:jc w:val="right"/>
        <w:rPr>
          <w:rFonts w:eastAsiaTheme="minorEastAsia"/>
          <w:color w:val="auto"/>
          <w:sz w:val="24"/>
          <w:highlight w:val="none"/>
        </w:rPr>
      </w:pPr>
      <w:r>
        <w:rPr>
          <w:rFonts w:hint="eastAsia" w:eastAsiaTheme="minorEastAsia"/>
          <w:color w:val="auto"/>
          <w:sz w:val="24"/>
          <w:highlight w:val="none"/>
        </w:rPr>
        <w:t>比选人：桂林市轨道交通集团有限公司</w:t>
      </w:r>
    </w:p>
    <w:p>
      <w:pPr>
        <w:spacing w:line="400" w:lineRule="exact"/>
        <w:ind w:firstLine="480" w:firstLineChars="200"/>
        <w:jc w:val="right"/>
        <w:rPr>
          <w:rFonts w:hint="eastAsia" w:eastAsiaTheme="minorEastAsia"/>
          <w:color w:val="auto"/>
          <w:sz w:val="24"/>
          <w:highlight w:val="none"/>
        </w:rPr>
      </w:pPr>
      <w:r>
        <w:rPr>
          <w:rFonts w:hint="eastAsia" w:eastAsiaTheme="minorEastAsia"/>
          <w:color w:val="auto"/>
          <w:sz w:val="24"/>
          <w:highlight w:val="none"/>
        </w:rPr>
        <w:t>2021年</w:t>
      </w:r>
      <w:r>
        <w:rPr>
          <w:rFonts w:hint="eastAsia" w:eastAsiaTheme="minorEastAsia"/>
          <w:color w:val="auto"/>
          <w:sz w:val="24"/>
          <w:highlight w:val="none"/>
          <w:lang w:val="en-US" w:eastAsia="zh-CN"/>
        </w:rPr>
        <w:t>9</w:t>
      </w:r>
      <w:r>
        <w:rPr>
          <w:rFonts w:hint="eastAsia" w:eastAsiaTheme="minorEastAsia"/>
          <w:color w:val="auto"/>
          <w:sz w:val="24"/>
          <w:highlight w:val="none"/>
        </w:rPr>
        <w:t>月</w:t>
      </w:r>
      <w:r>
        <w:rPr>
          <w:rFonts w:eastAsiaTheme="minorEastAsia"/>
          <w:color w:val="auto"/>
          <w:sz w:val="24"/>
          <w:highlight w:val="none"/>
        </w:rPr>
        <w:t xml:space="preserve"> </w:t>
      </w:r>
      <w:r>
        <w:rPr>
          <w:rFonts w:hint="eastAsia" w:eastAsiaTheme="minorEastAsia"/>
          <w:color w:val="auto"/>
          <w:sz w:val="24"/>
          <w:highlight w:val="none"/>
          <w:lang w:val="en-US" w:eastAsia="zh-CN"/>
        </w:rPr>
        <w:t>14</w:t>
      </w:r>
      <w:r>
        <w:rPr>
          <w:rFonts w:hint="eastAsia" w:eastAsiaTheme="minorEastAsia"/>
          <w:color w:val="auto"/>
          <w:sz w:val="24"/>
          <w:highlight w:val="none"/>
        </w:rPr>
        <w:t xml:space="preserve">日 </w:t>
      </w:r>
    </w:p>
    <w:p>
      <w:pPr>
        <w:rPr>
          <w:rFonts w:hint="eastAsia" w:eastAsiaTheme="minorEastAsia"/>
          <w:color w:val="auto"/>
          <w:sz w:val="24"/>
          <w:highlight w:val="none"/>
        </w:rPr>
      </w:pPr>
      <w:r>
        <w:rPr>
          <w:rFonts w:hint="eastAsia" w:eastAsiaTheme="minorEastAsia"/>
          <w:color w:val="auto"/>
          <w:sz w:val="24"/>
          <w:highlight w:val="none"/>
        </w:rPr>
        <w:br w:type="page"/>
      </w:r>
    </w:p>
    <w:tbl>
      <w:tblPr>
        <w:tblStyle w:val="26"/>
        <w:tblW w:w="9875" w:type="dxa"/>
        <w:jc w:val="center"/>
        <w:shd w:val="clear" w:color="auto" w:fill="auto"/>
        <w:tblLayout w:type="fixed"/>
        <w:tblCellMar>
          <w:top w:w="0" w:type="dxa"/>
          <w:left w:w="108" w:type="dxa"/>
          <w:bottom w:w="0" w:type="dxa"/>
          <w:right w:w="108" w:type="dxa"/>
        </w:tblCellMar>
      </w:tblPr>
      <w:tblGrid>
        <w:gridCol w:w="413"/>
        <w:gridCol w:w="948"/>
        <w:gridCol w:w="2892"/>
        <w:gridCol w:w="1044"/>
        <w:gridCol w:w="1044"/>
        <w:gridCol w:w="984"/>
        <w:gridCol w:w="1071"/>
        <w:gridCol w:w="1479"/>
      </w:tblGrid>
      <w:tr>
        <w:tblPrEx>
          <w:shd w:val="clear" w:color="auto" w:fill="auto"/>
          <w:tblCellMar>
            <w:top w:w="0" w:type="dxa"/>
            <w:left w:w="108" w:type="dxa"/>
            <w:bottom w:w="0" w:type="dxa"/>
            <w:right w:w="108" w:type="dxa"/>
          </w:tblCellMar>
        </w:tblPrEx>
        <w:trPr>
          <w:trHeight w:val="866" w:hRule="atLeas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u w:val="none"/>
                <w:lang w:val="en-US" w:eastAsia="zh-CN" w:bidi="ar"/>
              </w:rPr>
              <w:t>比选范围及工作内容和业绩要求一览表</w:t>
            </w:r>
          </w:p>
        </w:tc>
      </w:tr>
      <w:tr>
        <w:tblPrEx>
          <w:tblCellMar>
            <w:top w:w="0" w:type="dxa"/>
            <w:left w:w="108" w:type="dxa"/>
            <w:bottom w:w="0" w:type="dxa"/>
            <w:right w:w="108" w:type="dxa"/>
          </w:tblCellMar>
        </w:tblPrEx>
        <w:trPr>
          <w:trHeight w:val="622" w:hRule="atLeast"/>
          <w:jc w:val="center"/>
        </w:trPr>
        <w:tc>
          <w:tcPr>
            <w:tcW w:w="4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序号</w:t>
            </w:r>
          </w:p>
        </w:tc>
        <w:tc>
          <w:tcPr>
            <w:tcW w:w="9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标包</w:t>
            </w:r>
          </w:p>
        </w:tc>
        <w:tc>
          <w:tcPr>
            <w:tcW w:w="28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工作内容</w:t>
            </w:r>
          </w:p>
        </w:tc>
        <w:tc>
          <w:tcPr>
            <w:tcW w:w="10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项目金额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计费标准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类似项目说明</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737"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01标包</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桂林市旅游交通换乘中心项目精装修设计</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服务</w:t>
            </w:r>
          </w:p>
        </w:tc>
        <w:tc>
          <w:tcPr>
            <w:tcW w:w="1071"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737"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青莲地块设计</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4,000.00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服务</w:t>
            </w:r>
          </w:p>
        </w:tc>
        <w:tc>
          <w:tcPr>
            <w:tcW w:w="1071"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737"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02标包</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鼎亨桃花江度假酒店项目设计</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u w:val="none"/>
                <w:lang w:val="en-US" w:eastAsia="zh-CN" w:bidi="ar"/>
              </w:rPr>
              <w:t xml:space="preserve">792.00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服务</w:t>
            </w:r>
          </w:p>
        </w:tc>
        <w:tc>
          <w:tcPr>
            <w:tcW w:w="1071"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737"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鼎亨桃花江度假酒店项目监理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w:t>
            </w:r>
          </w:p>
        </w:tc>
        <w:tc>
          <w:tcPr>
            <w:tcW w:w="1071"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1845" w:hRule="atLeast"/>
          <w:jc w:val="center"/>
        </w:trPr>
        <w:tc>
          <w:tcPr>
            <w:tcW w:w="9875"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注：1、考虑到部分项目可能会出现合并或者拆分以及兼投不兼中的情形，故将存在上述可能的项目合到一个标包中，以便后续招标代理合同执行。</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2、招标控制价编制工作不一定需要开展，请在实际工作过程中注意明确是否需要，并按照项目实际需要开展相关工作；</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3、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所投标包。</w:t>
            </w:r>
          </w:p>
        </w:tc>
      </w:tr>
    </w:tbl>
    <w:p>
      <w:pPr>
        <w:pStyle w:val="2"/>
        <w:rPr>
          <w:highlight w:val="none"/>
        </w:rPr>
      </w:pPr>
    </w:p>
    <w:p>
      <w:pPr>
        <w:widowControl/>
        <w:jc w:val="right"/>
        <w:rPr>
          <w:rFonts w:eastAsiaTheme="minorEastAsia"/>
          <w:b/>
          <w:color w:val="auto"/>
          <w:kern w:val="44"/>
          <w:sz w:val="28"/>
          <w:szCs w:val="28"/>
          <w:highlight w:val="none"/>
        </w:rPr>
      </w:pPr>
    </w:p>
    <w:p>
      <w:pPr>
        <w:pStyle w:val="3"/>
        <w:spacing w:before="0" w:after="0" w:line="360" w:lineRule="auto"/>
        <w:rPr>
          <w:rFonts w:eastAsiaTheme="minorEastAsia"/>
          <w:color w:val="auto"/>
          <w:szCs w:val="28"/>
          <w:highlight w:val="none"/>
        </w:rPr>
      </w:pPr>
      <w:bookmarkStart w:id="55" w:name="_Toc5281"/>
      <w:bookmarkStart w:id="56" w:name="_Toc32460"/>
      <w:r>
        <w:rPr>
          <w:rFonts w:eastAsiaTheme="minorEastAsia"/>
          <w:color w:val="auto"/>
          <w:szCs w:val="28"/>
          <w:highlight w:val="none"/>
        </w:rPr>
        <w:t>第二章比选须知</w:t>
      </w:r>
      <w:bookmarkEnd w:id="14"/>
      <w:bookmarkEnd w:id="15"/>
      <w:bookmarkEnd w:id="16"/>
      <w:bookmarkEnd w:id="17"/>
      <w:bookmarkEnd w:id="18"/>
      <w:bookmarkEnd w:id="19"/>
      <w:bookmarkEnd w:id="20"/>
      <w:bookmarkEnd w:id="21"/>
      <w:bookmarkEnd w:id="22"/>
      <w:bookmarkEnd w:id="23"/>
      <w:bookmarkEnd w:id="24"/>
      <w:bookmarkEnd w:id="25"/>
      <w:bookmarkEnd w:id="26"/>
      <w:bookmarkEnd w:id="55"/>
      <w:bookmarkEnd w:id="56"/>
    </w:p>
    <w:p>
      <w:pPr>
        <w:pStyle w:val="2"/>
        <w:spacing w:before="0" w:after="0" w:line="360" w:lineRule="auto"/>
        <w:jc w:val="center"/>
        <w:rPr>
          <w:rFonts w:ascii="Times New Roman" w:hAnsi="Times New Roman" w:eastAsiaTheme="minorEastAsia"/>
          <w:b/>
          <w:color w:val="auto"/>
          <w:sz w:val="24"/>
          <w:szCs w:val="24"/>
          <w:highlight w:val="none"/>
        </w:rPr>
      </w:pPr>
      <w:bookmarkStart w:id="57" w:name="_Toc5060"/>
      <w:bookmarkStart w:id="58" w:name="_Toc31166"/>
      <w:bookmarkStart w:id="59" w:name="_Toc461525295"/>
      <w:bookmarkStart w:id="60" w:name="_Toc2242"/>
      <w:bookmarkStart w:id="61" w:name="_Toc11337"/>
      <w:bookmarkStart w:id="62" w:name="_Toc2162"/>
      <w:bookmarkStart w:id="63" w:name="_Toc32591"/>
      <w:bookmarkStart w:id="64" w:name="_Toc11329"/>
      <w:bookmarkStart w:id="65" w:name="_Toc14510"/>
      <w:bookmarkStart w:id="66" w:name="_Toc18263"/>
      <w:bookmarkStart w:id="67" w:name="_Toc24239"/>
      <w:bookmarkStart w:id="68" w:name="_Toc17254"/>
      <w:bookmarkStart w:id="69" w:name="_Toc17641"/>
      <w:bookmarkStart w:id="70" w:name="_Toc21327"/>
      <w:bookmarkStart w:id="71" w:name="_Toc15632"/>
      <w:r>
        <w:rPr>
          <w:rFonts w:ascii="Times New Roman" w:hAnsi="Times New Roman" w:eastAsiaTheme="minorEastAsia"/>
          <w:b/>
          <w:color w:val="auto"/>
          <w:sz w:val="24"/>
          <w:szCs w:val="24"/>
          <w:highlight w:val="none"/>
        </w:rPr>
        <w:t>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2"/>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732" w:type="dxa"/>
            <w:vAlign w:val="center"/>
          </w:tcPr>
          <w:p>
            <w:pPr>
              <w:jc w:val="center"/>
              <w:rPr>
                <w:rFonts w:eastAsiaTheme="minorEastAsia"/>
                <w:color w:val="auto"/>
                <w:sz w:val="24"/>
                <w:highlight w:val="none"/>
              </w:rPr>
            </w:pPr>
            <w:r>
              <w:rPr>
                <w:rFonts w:eastAsiaTheme="minorEastAsia"/>
                <w:color w:val="auto"/>
                <w:sz w:val="24"/>
                <w:highlight w:val="none"/>
              </w:rPr>
              <w:t>内容标题</w:t>
            </w:r>
          </w:p>
        </w:tc>
        <w:tc>
          <w:tcPr>
            <w:tcW w:w="6762" w:type="dxa"/>
            <w:vAlign w:val="center"/>
          </w:tcPr>
          <w:p>
            <w:pPr>
              <w:jc w:val="center"/>
              <w:rPr>
                <w:rFonts w:eastAsiaTheme="minorEastAsia"/>
                <w:color w:val="auto"/>
                <w:sz w:val="24"/>
                <w:highlight w:val="none"/>
              </w:rPr>
            </w:pPr>
            <w:r>
              <w:rPr>
                <w:rFonts w:eastAsiaTheme="minorEastAsia"/>
                <w:color w:val="auto"/>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项目名称</w:t>
            </w:r>
          </w:p>
        </w:tc>
        <w:tc>
          <w:tcPr>
            <w:tcW w:w="6762" w:type="dxa"/>
            <w:vAlign w:val="center"/>
          </w:tcPr>
          <w:p>
            <w:pPr>
              <w:jc w:val="left"/>
              <w:rPr>
                <w:rFonts w:eastAsiaTheme="minorEastAsia"/>
                <w:color w:val="auto"/>
                <w:sz w:val="24"/>
                <w:highlight w:val="none"/>
              </w:rPr>
            </w:pPr>
            <w:r>
              <w:rPr>
                <w:rFonts w:hint="eastAsia" w:eastAsiaTheme="minorEastAsia"/>
                <w:color w:val="auto"/>
                <w:sz w:val="24"/>
                <w:highlight w:val="none"/>
              </w:rPr>
              <w:t>桂林市轨道交通集团有限公司2021年</w:t>
            </w:r>
            <w:r>
              <w:rPr>
                <w:rFonts w:hint="eastAsia" w:eastAsiaTheme="minorEastAsia"/>
                <w:color w:val="auto"/>
                <w:sz w:val="24"/>
                <w:highlight w:val="none"/>
                <w:lang w:eastAsia="zh-CN"/>
              </w:rPr>
              <w:t>第四批</w:t>
            </w:r>
            <w:r>
              <w:rPr>
                <w:rFonts w:hint="eastAsia" w:eastAsiaTheme="minorEastAsia"/>
                <w:color w:val="auto"/>
                <w:sz w:val="24"/>
                <w:highlight w:val="none"/>
              </w:rPr>
              <w:t>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项目概况</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项目内容</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资金来源</w:t>
            </w:r>
          </w:p>
        </w:tc>
        <w:tc>
          <w:tcPr>
            <w:tcW w:w="6762" w:type="dxa"/>
            <w:shd w:val="clear" w:color="auto" w:fill="FFFFFF" w:themeFill="background1"/>
          </w:tcPr>
          <w:p>
            <w:pPr>
              <w:ind w:right="-3"/>
              <w:jc w:val="left"/>
              <w:rPr>
                <w:rFonts w:eastAsiaTheme="minorEastAsia"/>
                <w:color w:val="auto"/>
                <w:sz w:val="24"/>
                <w:highlight w:val="none"/>
              </w:rPr>
            </w:pPr>
            <w:r>
              <w:rPr>
                <w:rFonts w:eastAsiaTheme="minorEastAsia"/>
                <w:color w:val="auto"/>
                <w:sz w:val="24"/>
                <w:highlight w:val="none"/>
              </w:rPr>
              <w:t>企业自筹，已落实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5</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计费方式</w:t>
            </w:r>
          </w:p>
        </w:tc>
        <w:tc>
          <w:tcPr>
            <w:tcW w:w="6762" w:type="dxa"/>
          </w:tcPr>
          <w:p>
            <w:pPr>
              <w:rPr>
                <w:rFonts w:eastAsiaTheme="minorEastAsia"/>
                <w:color w:val="auto"/>
                <w:sz w:val="24"/>
                <w:highlight w:val="none"/>
              </w:rPr>
            </w:pPr>
            <w:r>
              <w:rPr>
                <w:rFonts w:hint="eastAsia" w:eastAsiaTheme="minorEastAsia"/>
                <w:color w:val="auto"/>
                <w:sz w:val="24"/>
                <w:highlight w:val="none"/>
              </w:rPr>
              <w:t>招标代理服务费计费方式：</w:t>
            </w:r>
          </w:p>
          <w:p>
            <w:pPr>
              <w:rPr>
                <w:rFonts w:eastAsiaTheme="minorEastAsia"/>
                <w:color w:val="auto"/>
                <w:sz w:val="24"/>
                <w:highlight w:val="none"/>
              </w:rPr>
            </w:pPr>
            <w:r>
              <w:rPr>
                <w:rFonts w:hint="eastAsia" w:eastAsiaTheme="minorEastAsia"/>
                <w:color w:val="auto"/>
                <w:sz w:val="24"/>
                <w:highlight w:val="none"/>
              </w:rPr>
              <w:t>招标代理服务费=某招标项目的实际中标金额×招标代理服务费收费标准×（1-招标代理服务费比选下浮费率   %）（</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6</w:t>
            </w:r>
          </w:p>
        </w:tc>
        <w:tc>
          <w:tcPr>
            <w:tcW w:w="1732" w:type="dxa"/>
            <w:vAlign w:val="center"/>
          </w:tcPr>
          <w:p>
            <w:pPr>
              <w:jc w:val="left"/>
              <w:rPr>
                <w:rFonts w:eastAsiaTheme="minorEastAsia"/>
                <w:color w:val="auto"/>
                <w:sz w:val="24"/>
                <w:highlight w:val="none"/>
              </w:rPr>
            </w:pPr>
            <w:r>
              <w:rPr>
                <w:rFonts w:hint="eastAsia" w:eastAsiaTheme="minorEastAsia"/>
                <w:color w:val="auto"/>
                <w:sz w:val="24"/>
                <w:highlight w:val="none"/>
                <w:lang w:val="en-US" w:eastAsia="zh-CN"/>
              </w:rPr>
              <w:t>最高</w:t>
            </w:r>
            <w:r>
              <w:rPr>
                <w:rFonts w:eastAsiaTheme="minorEastAsia"/>
                <w:color w:val="auto"/>
                <w:sz w:val="24"/>
                <w:highlight w:val="none"/>
              </w:rPr>
              <w:t>控制价</w:t>
            </w:r>
          </w:p>
        </w:tc>
        <w:tc>
          <w:tcPr>
            <w:tcW w:w="6762" w:type="dxa"/>
            <w:vAlign w:val="center"/>
          </w:tcPr>
          <w:p>
            <w:pPr>
              <w:ind w:right="-3"/>
              <w:jc w:val="left"/>
              <w:rPr>
                <w:rFonts w:eastAsiaTheme="minorEastAsia"/>
                <w:color w:val="auto"/>
                <w:sz w:val="24"/>
                <w:highlight w:val="none"/>
              </w:rPr>
            </w:pPr>
            <w:r>
              <w:rPr>
                <w:rFonts w:hint="eastAsia" w:eastAsiaTheme="minorEastAsia"/>
                <w:color w:val="auto"/>
                <w:sz w:val="24"/>
                <w:highlight w:val="none"/>
                <w:lang w:val="en-US" w:eastAsia="zh-CN"/>
              </w:rPr>
              <w:t>按照收费标准至少下浮30%</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报价方式</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下浮费率的方式报价，详见报价表。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8</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合同期限</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自签订合同之日起至合同履约完成之日止。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9</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比选申请人资格要求</w:t>
            </w:r>
          </w:p>
        </w:tc>
        <w:tc>
          <w:tcPr>
            <w:tcW w:w="6762" w:type="dxa"/>
            <w:vAlign w:val="center"/>
          </w:tcPr>
          <w:p>
            <w:pPr>
              <w:rPr>
                <w:rFonts w:eastAsiaTheme="minorEastAsia"/>
                <w:color w:val="auto"/>
                <w:sz w:val="24"/>
                <w:highlight w:val="none"/>
              </w:rPr>
            </w:pPr>
            <w:r>
              <w:rPr>
                <w:rFonts w:eastAsiaTheme="minorEastAsia"/>
                <w:color w:val="auto"/>
                <w:sz w:val="24"/>
                <w:highlight w:val="none"/>
              </w:rPr>
              <w:t>1、参选人须为</w:t>
            </w:r>
            <w:r>
              <w:rPr>
                <w:rFonts w:hint="eastAsia" w:eastAsiaTheme="minorEastAsia"/>
                <w:color w:val="auto"/>
                <w:sz w:val="24"/>
                <w:highlight w:val="none"/>
              </w:rPr>
              <w:t>桂林市轨道交通集团有限公司及桂林市交通投资控股集团有限公司代理库内成员单位，具体详见后附名单</w:t>
            </w:r>
            <w:r>
              <w:rPr>
                <w:rFonts w:eastAsiaTheme="minorEastAsia"/>
                <w:color w:val="auto"/>
                <w:sz w:val="24"/>
                <w:highlight w:val="none"/>
              </w:rPr>
              <w:t>。</w:t>
            </w:r>
          </w:p>
          <w:p>
            <w:pPr>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比选文件的获取</w:t>
            </w:r>
          </w:p>
        </w:tc>
        <w:tc>
          <w:tcPr>
            <w:tcW w:w="6762" w:type="dxa"/>
            <w:vAlign w:val="center"/>
          </w:tcPr>
          <w:p>
            <w:pPr>
              <w:spacing w:line="400" w:lineRule="exact"/>
              <w:rPr>
                <w:rFonts w:eastAsiaTheme="minorEastAsia"/>
                <w:color w:val="auto"/>
                <w:sz w:val="24"/>
                <w:highlight w:val="none"/>
              </w:rPr>
            </w:pPr>
            <w:r>
              <w:rPr>
                <w:rFonts w:hint="eastAsia" w:eastAsiaTheme="minorEastAsia"/>
                <w:color w:val="auto"/>
                <w:sz w:val="24"/>
                <w:highlight w:val="none"/>
              </w:rPr>
              <w:t xml:space="preserve">比选申请人潜在供应商自行到 </w:t>
            </w:r>
            <w:r>
              <w:rPr>
                <w:rFonts w:hint="eastAsia" w:eastAsiaTheme="minorEastAsia"/>
                <w:b/>
                <w:bCs/>
                <w:color w:val="auto"/>
                <w:sz w:val="24"/>
                <w:highlight w:val="none"/>
              </w:rPr>
              <w:t xml:space="preserve">桂林市秀峰区翠竹路75号鼎富大厦B座14楼 </w:t>
            </w:r>
            <w:r>
              <w:rPr>
                <w:rFonts w:hint="eastAsia" w:eastAsiaTheme="minorEastAsia"/>
                <w:color w:val="auto"/>
                <w:sz w:val="24"/>
                <w:highlight w:val="none"/>
              </w:rPr>
              <w:t>免费领取，或通过电子邮件方式进行发送文件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eastAsiaTheme="minorEastAsia"/>
                <w:color w:val="auto"/>
                <w:sz w:val="24"/>
                <w:highlight w:val="none"/>
              </w:rPr>
            </w:pPr>
            <w:r>
              <w:rPr>
                <w:rFonts w:eastAsiaTheme="minorEastAsia"/>
                <w:color w:val="auto"/>
                <w:sz w:val="24"/>
                <w:highlight w:val="none"/>
              </w:rPr>
              <w:t>11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比选有效期</w:t>
            </w:r>
          </w:p>
        </w:tc>
        <w:tc>
          <w:tcPr>
            <w:tcW w:w="6762" w:type="dxa"/>
            <w:vAlign w:val="center"/>
          </w:tcPr>
          <w:p>
            <w:pPr>
              <w:rPr>
                <w:rFonts w:eastAsiaTheme="minorEastAsia"/>
                <w:color w:val="auto"/>
                <w:sz w:val="24"/>
                <w:highlight w:val="none"/>
              </w:rPr>
            </w:pPr>
            <w:r>
              <w:rPr>
                <w:rFonts w:hint="eastAsia" w:eastAsiaTheme="minorEastAsia"/>
                <w:color w:val="auto"/>
                <w:sz w:val="24"/>
                <w:highlight w:val="none"/>
              </w:rPr>
              <w:t>270日历天</w:t>
            </w:r>
            <w:r>
              <w:rPr>
                <w:rFonts w:eastAsiaTheme="minorEastAsia"/>
                <w:color w:val="auto"/>
                <w:sz w:val="24"/>
                <w:highlight w:val="none"/>
              </w:rPr>
              <w:t>（比选有效期是指为保证比选人有足够的时间完成评审和与中选人签订合同而在一定时间内保持有效的期限。比选有效期从比选申请文件递交截止之日算起。）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比选申请文件份数</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纸质版一式</w:t>
            </w:r>
            <w:r>
              <w:rPr>
                <w:rFonts w:hint="eastAsia" w:eastAsiaTheme="minorEastAsia"/>
                <w:color w:val="auto"/>
                <w:sz w:val="24"/>
                <w:highlight w:val="none"/>
              </w:rPr>
              <w:t>三</w:t>
            </w:r>
            <w:r>
              <w:rPr>
                <w:rFonts w:eastAsiaTheme="minorEastAsia"/>
                <w:color w:val="auto"/>
                <w:sz w:val="24"/>
                <w:highlight w:val="none"/>
              </w:rPr>
              <w:t>份，其中正本一份、副本</w:t>
            </w:r>
            <w:r>
              <w:rPr>
                <w:rFonts w:hint="eastAsia" w:eastAsiaTheme="minorEastAsia"/>
                <w:color w:val="auto"/>
                <w:sz w:val="24"/>
                <w:highlight w:val="none"/>
              </w:rPr>
              <w:t>二</w:t>
            </w:r>
            <w:r>
              <w:rPr>
                <w:rFonts w:eastAsiaTheme="minorEastAsia"/>
                <w:color w:val="auto"/>
                <w:sz w:val="24"/>
                <w:highlight w:val="none"/>
              </w:rPr>
              <w:t>份（电子版</w:t>
            </w:r>
            <w:r>
              <w:rPr>
                <w:rFonts w:hint="eastAsia" w:eastAsiaTheme="minorEastAsia"/>
                <w:color w:val="auto"/>
                <w:sz w:val="24"/>
                <w:highlight w:val="none"/>
              </w:rPr>
              <w:t>一份，U盘形式</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比选申请文件递交</w:t>
            </w:r>
            <w:r>
              <w:rPr>
                <w:rFonts w:hint="eastAsia" w:eastAsiaTheme="minorEastAsia"/>
                <w:color w:val="auto"/>
                <w:sz w:val="24"/>
                <w:highlight w:val="none"/>
              </w:rPr>
              <w:t>单位和</w:t>
            </w:r>
            <w:r>
              <w:rPr>
                <w:rFonts w:eastAsiaTheme="minorEastAsia"/>
                <w:color w:val="auto"/>
                <w:sz w:val="24"/>
                <w:highlight w:val="none"/>
              </w:rPr>
              <w:t>地址</w:t>
            </w:r>
          </w:p>
        </w:tc>
        <w:tc>
          <w:tcPr>
            <w:tcW w:w="6762" w:type="dxa"/>
            <w:vAlign w:val="center"/>
          </w:tcPr>
          <w:p>
            <w:pPr>
              <w:ind w:right="-137"/>
              <w:jc w:val="left"/>
              <w:rPr>
                <w:color w:val="auto"/>
                <w:sz w:val="24"/>
                <w:highlight w:val="none"/>
              </w:rPr>
            </w:pPr>
            <w:r>
              <w:rPr>
                <w:rFonts w:hint="eastAsia"/>
                <w:color w:val="auto"/>
                <w:sz w:val="24"/>
                <w:highlight w:val="none"/>
              </w:rPr>
              <w:t>单位：桂林市</w:t>
            </w:r>
            <w:r>
              <w:rPr>
                <w:rFonts w:hint="eastAsia"/>
                <w:color w:val="auto"/>
                <w:sz w:val="24"/>
                <w:highlight w:val="none"/>
                <w:lang w:val="en-US" w:eastAsia="zh-CN"/>
              </w:rPr>
              <w:t>轨道交通集团</w:t>
            </w:r>
            <w:r>
              <w:rPr>
                <w:rFonts w:hint="eastAsia"/>
                <w:color w:val="auto"/>
                <w:sz w:val="24"/>
                <w:highlight w:val="none"/>
              </w:rPr>
              <w:t>有限公司</w:t>
            </w:r>
          </w:p>
          <w:p>
            <w:pPr>
              <w:ind w:right="-137"/>
              <w:jc w:val="left"/>
              <w:rPr>
                <w:rFonts w:eastAsiaTheme="minorEastAsia"/>
                <w:color w:val="auto"/>
                <w:sz w:val="24"/>
                <w:highlight w:val="none"/>
              </w:rPr>
            </w:pPr>
            <w:r>
              <w:rPr>
                <w:rFonts w:hint="eastAsia"/>
                <w:color w:val="auto"/>
                <w:sz w:val="24"/>
                <w:highlight w:val="none"/>
              </w:rPr>
              <w:t>地址：桂林市秀峰区75号鼎富大厦B座14楼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比选申请文件递交截止时间</w:t>
            </w:r>
          </w:p>
        </w:tc>
        <w:tc>
          <w:tcPr>
            <w:tcW w:w="6762" w:type="dxa"/>
            <w:shd w:val="clear" w:color="auto" w:fill="FFFFFF" w:themeFill="background1"/>
            <w:vAlign w:val="center"/>
          </w:tcPr>
          <w:p>
            <w:pPr>
              <w:rPr>
                <w:rFonts w:eastAsiaTheme="minorEastAsia"/>
                <w:color w:val="auto"/>
                <w:sz w:val="24"/>
                <w:highlight w:val="none"/>
              </w:rPr>
            </w:pPr>
            <w:r>
              <w:rPr>
                <w:rFonts w:hint="eastAsia" w:eastAsiaTheme="minorEastAsia"/>
                <w:color w:val="auto"/>
                <w:sz w:val="24"/>
                <w:highlight w:val="none"/>
              </w:rPr>
              <w:t>2021年</w:t>
            </w:r>
            <w:r>
              <w:rPr>
                <w:rFonts w:hint="eastAsia" w:eastAsiaTheme="minorEastAsia"/>
                <w:color w:val="auto"/>
                <w:sz w:val="24"/>
                <w:highlight w:val="none"/>
                <w:lang w:val="en-US" w:eastAsia="zh-CN"/>
              </w:rPr>
              <w:t>9</w:t>
            </w:r>
            <w:r>
              <w:rPr>
                <w:rFonts w:hint="eastAsia" w:eastAsiaTheme="minorEastAsia"/>
                <w:color w:val="auto"/>
                <w:sz w:val="24"/>
                <w:highlight w:val="none"/>
              </w:rPr>
              <w:t>月</w:t>
            </w:r>
            <w:r>
              <w:rPr>
                <w:rFonts w:eastAsiaTheme="minorEastAsia"/>
                <w:color w:val="auto"/>
                <w:sz w:val="24"/>
                <w:highlight w:val="none"/>
              </w:rPr>
              <w:t xml:space="preserve"> </w:t>
            </w:r>
            <w:r>
              <w:rPr>
                <w:rFonts w:hint="eastAsia" w:eastAsiaTheme="minorEastAsia"/>
                <w:color w:val="auto"/>
                <w:sz w:val="24"/>
                <w:highlight w:val="none"/>
                <w:lang w:val="en-US" w:eastAsia="zh-CN"/>
              </w:rPr>
              <w:t xml:space="preserve">18 </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w:t>
            </w:r>
            <w:r>
              <w:rPr>
                <w:rFonts w:eastAsiaTheme="minorEastAsia"/>
                <w:color w:val="auto"/>
                <w:sz w:val="24"/>
                <w:highlight w:val="none"/>
              </w:rPr>
              <w:t>3</w:t>
            </w:r>
            <w:r>
              <w:rPr>
                <w:rFonts w:hint="eastAsia" w:eastAsiaTheme="minorEastAsia"/>
                <w:color w:val="auto"/>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15</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比选申请文件递交要求</w:t>
            </w:r>
          </w:p>
        </w:tc>
        <w:tc>
          <w:tcPr>
            <w:tcW w:w="6762" w:type="dxa"/>
            <w:shd w:val="clear" w:color="auto" w:fill="FFFFFF" w:themeFill="background1"/>
            <w:vAlign w:val="center"/>
          </w:tcPr>
          <w:p>
            <w:pPr>
              <w:ind w:right="-3"/>
              <w:jc w:val="left"/>
              <w:rPr>
                <w:rFonts w:eastAsiaTheme="minorEastAsia"/>
                <w:color w:val="auto"/>
                <w:sz w:val="24"/>
                <w:highlight w:val="none"/>
              </w:rPr>
            </w:pPr>
            <w:r>
              <w:rPr>
                <w:rFonts w:eastAsiaTheme="minorEastAsia"/>
                <w:color w:val="auto"/>
                <w:sz w:val="24"/>
                <w:highlight w:val="none"/>
              </w:rPr>
              <w:t>逾期送达或不符合比选文件密封规定的比选申请文件将被拒绝接收。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16</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评比办法</w:t>
            </w:r>
          </w:p>
        </w:tc>
        <w:tc>
          <w:tcPr>
            <w:tcW w:w="6762" w:type="dxa"/>
            <w:vAlign w:val="center"/>
          </w:tcPr>
          <w:p>
            <w:pPr>
              <w:ind w:right="753"/>
              <w:jc w:val="left"/>
              <w:rPr>
                <w:rFonts w:eastAsiaTheme="minorEastAsia"/>
                <w:color w:val="auto"/>
                <w:sz w:val="24"/>
                <w:highlight w:val="none"/>
              </w:rPr>
            </w:pPr>
            <w:r>
              <w:rPr>
                <w:rFonts w:eastAsiaTheme="minorEastAsia"/>
                <w:color w:val="auto"/>
                <w:sz w:val="24"/>
                <w:highlight w:val="none"/>
              </w:rPr>
              <w:t>采用</w:t>
            </w:r>
            <w:r>
              <w:rPr>
                <w:rFonts w:hint="eastAsia" w:eastAsiaTheme="minorEastAsia"/>
                <w:color w:val="auto"/>
                <w:sz w:val="24"/>
                <w:highlight w:val="none"/>
                <w:lang w:val="en-US" w:eastAsia="zh-CN"/>
              </w:rPr>
              <w:t>合理低价</w:t>
            </w:r>
            <w:r>
              <w:rPr>
                <w:rFonts w:eastAsiaTheme="minorEastAsia"/>
                <w:color w:val="auto"/>
                <w:sz w:val="24"/>
                <w:highlight w:val="none"/>
              </w:rPr>
              <w:t>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中选通知</w:t>
            </w:r>
          </w:p>
        </w:tc>
        <w:tc>
          <w:tcPr>
            <w:tcW w:w="6762" w:type="dxa"/>
          </w:tcPr>
          <w:p>
            <w:pPr>
              <w:ind w:right="-3"/>
              <w:jc w:val="left"/>
              <w:rPr>
                <w:rFonts w:eastAsiaTheme="minorEastAsia"/>
                <w:color w:val="auto"/>
                <w:sz w:val="24"/>
                <w:highlight w:val="none"/>
              </w:rPr>
            </w:pPr>
            <w:r>
              <w:rPr>
                <w:rFonts w:eastAsiaTheme="minorEastAsia"/>
                <w:color w:val="auto"/>
                <w:sz w:val="24"/>
                <w:highlight w:val="none"/>
              </w:rPr>
              <w:t>比选人根据评比委员会的评比结果在比选有效期内向中选的比选申请人发出中选通知书。</w:t>
            </w:r>
          </w:p>
          <w:p>
            <w:pPr>
              <w:ind w:right="-3"/>
              <w:jc w:val="left"/>
              <w:rPr>
                <w:rFonts w:eastAsiaTheme="minorEastAsia"/>
                <w:color w:val="auto"/>
                <w:sz w:val="24"/>
                <w:highlight w:val="none"/>
              </w:rPr>
            </w:pPr>
            <w:r>
              <w:rPr>
                <w:rFonts w:eastAsiaTheme="minorEastAsia"/>
                <w:color w:val="auto"/>
                <w:sz w:val="24"/>
                <w:highlight w:val="none"/>
              </w:rPr>
              <w:t>比选人无义务向未中选的比选申请人解释未中选原因和退还其比选文件。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18</w:t>
            </w:r>
          </w:p>
        </w:tc>
        <w:tc>
          <w:tcPr>
            <w:tcW w:w="1732" w:type="dxa"/>
            <w:vAlign w:val="center"/>
          </w:tcPr>
          <w:p>
            <w:pPr>
              <w:rPr>
                <w:rFonts w:eastAsiaTheme="minorEastAsia"/>
                <w:color w:val="auto"/>
                <w:sz w:val="24"/>
                <w:highlight w:val="none"/>
              </w:rPr>
            </w:pPr>
            <w:r>
              <w:rPr>
                <w:rFonts w:eastAsiaTheme="minorEastAsia"/>
                <w:color w:val="auto"/>
                <w:sz w:val="24"/>
                <w:highlight w:val="none"/>
              </w:rPr>
              <w:t>比选保证金</w:t>
            </w:r>
          </w:p>
        </w:tc>
        <w:tc>
          <w:tcPr>
            <w:tcW w:w="6762" w:type="dxa"/>
            <w:vAlign w:val="center"/>
          </w:tcPr>
          <w:p>
            <w:pPr>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19</w:t>
            </w:r>
          </w:p>
        </w:tc>
        <w:tc>
          <w:tcPr>
            <w:tcW w:w="1732" w:type="dxa"/>
            <w:vAlign w:val="center"/>
          </w:tcPr>
          <w:p>
            <w:pPr>
              <w:rPr>
                <w:rFonts w:eastAsiaTheme="minorEastAsia"/>
                <w:color w:val="auto"/>
                <w:sz w:val="24"/>
                <w:highlight w:val="none"/>
              </w:rPr>
            </w:pPr>
            <w:r>
              <w:rPr>
                <w:rFonts w:eastAsiaTheme="minorEastAsia"/>
                <w:color w:val="auto"/>
                <w:sz w:val="24"/>
                <w:highlight w:val="none"/>
              </w:rPr>
              <w:t>履约保证金</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其他事项</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中选单位如放弃中选资格，则比选人有权将其列入不良行为记录名单、两年内禁止其参加比选人的任何比选项目。</w:t>
            </w:r>
          </w:p>
          <w:p>
            <w:pPr>
              <w:ind w:right="-3"/>
              <w:jc w:val="left"/>
              <w:rPr>
                <w:rFonts w:eastAsiaTheme="minorEastAsia"/>
                <w:color w:val="auto"/>
                <w:sz w:val="24"/>
                <w:highlight w:val="none"/>
              </w:rPr>
            </w:pPr>
            <w:r>
              <w:rPr>
                <w:rFonts w:hint="eastAsia" w:eastAsiaTheme="minorEastAsia"/>
                <w:b/>
                <w:bCs/>
                <w:color w:val="auto"/>
                <w:sz w:val="24"/>
                <w:highlight w:val="none"/>
              </w:rPr>
              <w:t>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参与。</w:t>
            </w:r>
          </w:p>
        </w:tc>
      </w:tr>
    </w:tbl>
    <w:p>
      <w:pPr>
        <w:rPr>
          <w:rFonts w:eastAsiaTheme="minorEastAsia"/>
          <w:color w:val="auto"/>
          <w:szCs w:val="21"/>
          <w:highlight w:val="none"/>
        </w:rPr>
      </w:pPr>
      <w:bookmarkStart w:id="72" w:name="_Toc20803"/>
      <w:bookmarkStart w:id="73" w:name="_Toc18983"/>
      <w:bookmarkStart w:id="74" w:name="_Toc336"/>
      <w:bookmarkStart w:id="75" w:name="_Toc12506"/>
      <w:bookmarkStart w:id="76" w:name="_Toc6681"/>
      <w:bookmarkStart w:id="77" w:name="_Toc26201"/>
      <w:bookmarkStart w:id="78" w:name="_Toc30162"/>
      <w:bookmarkStart w:id="79" w:name="_Toc32363"/>
      <w:bookmarkStart w:id="80" w:name="_Toc12419"/>
      <w:bookmarkStart w:id="81" w:name="_Toc28086"/>
      <w:bookmarkStart w:id="82" w:name="_Toc16198"/>
      <w:bookmarkStart w:id="83" w:name="_Toc3861"/>
      <w:bookmarkStart w:id="84" w:name="_Toc461525297"/>
    </w:p>
    <w:p>
      <w:pPr>
        <w:rPr>
          <w:rFonts w:eastAsiaTheme="minorEastAsia"/>
          <w:color w:val="auto"/>
          <w:szCs w:val="21"/>
          <w:highlight w:val="none"/>
        </w:rPr>
      </w:pPr>
    </w:p>
    <w:p>
      <w:pPr>
        <w:rPr>
          <w:rFonts w:eastAsiaTheme="minorEastAsia"/>
          <w:color w:val="auto"/>
          <w:szCs w:val="21"/>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szCs w:val="21"/>
          <w:highlight w:val="none"/>
        </w:rPr>
      </w:pPr>
    </w:p>
    <w:p>
      <w:pPr>
        <w:rPr>
          <w:rFonts w:eastAsiaTheme="minorEastAsia"/>
          <w:color w:val="auto"/>
          <w:szCs w:val="21"/>
          <w:highlight w:val="none"/>
        </w:rPr>
      </w:pPr>
    </w:p>
    <w:p>
      <w:pPr>
        <w:widowControl/>
        <w:jc w:val="left"/>
        <w:rPr>
          <w:rFonts w:eastAsiaTheme="minorEastAsia"/>
          <w:color w:val="auto"/>
          <w:kern w:val="0"/>
          <w:sz w:val="24"/>
          <w:highlight w:val="none"/>
        </w:rPr>
      </w:pPr>
      <w:r>
        <w:rPr>
          <w:rFonts w:eastAsiaTheme="minorEastAsia"/>
          <w:color w:val="auto"/>
          <w:sz w:val="24"/>
          <w:highlight w:val="none"/>
        </w:rPr>
        <w:br w:type="page"/>
      </w:r>
    </w:p>
    <w:p>
      <w:pPr>
        <w:pStyle w:val="2"/>
        <w:spacing w:before="0" w:after="0" w:line="360" w:lineRule="auto"/>
        <w:jc w:val="center"/>
        <w:rPr>
          <w:rFonts w:ascii="Times New Roman" w:hAnsi="Times New Roman" w:eastAsiaTheme="minorEastAsia"/>
          <w:color w:val="auto"/>
          <w:sz w:val="24"/>
          <w:szCs w:val="24"/>
          <w:highlight w:val="none"/>
        </w:rPr>
      </w:pPr>
      <w:bookmarkStart w:id="85" w:name="_Toc13702"/>
      <w:bookmarkStart w:id="86" w:name="_Toc31583"/>
      <w:r>
        <w:rPr>
          <w:rFonts w:ascii="Times New Roman" w:hAnsi="Times New Roman" w:eastAsiaTheme="minorEastAsia"/>
          <w:color w:val="auto"/>
          <w:sz w:val="24"/>
          <w:szCs w:val="24"/>
          <w:highlight w:val="none"/>
        </w:rPr>
        <w:t>一、总则</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360" w:lineRule="auto"/>
        <w:ind w:right="753"/>
        <w:jc w:val="left"/>
        <w:rPr>
          <w:rFonts w:eastAsiaTheme="minorEastAsia"/>
          <w:color w:val="auto"/>
          <w:sz w:val="24"/>
          <w:highlight w:val="none"/>
        </w:rPr>
      </w:pPr>
      <w:bookmarkStart w:id="87" w:name="_Toc114052414"/>
      <w:bookmarkStart w:id="88" w:name="_Toc286386834"/>
      <w:bookmarkStart w:id="89" w:name="_Toc310318572"/>
      <w:bookmarkStart w:id="90" w:name="_Toc114052340"/>
      <w:r>
        <w:rPr>
          <w:rFonts w:eastAsiaTheme="minorEastAsia"/>
          <w:color w:val="auto"/>
          <w:sz w:val="24"/>
          <w:highlight w:val="none"/>
        </w:rPr>
        <w:t xml:space="preserve">    1.项目比选说明</w:t>
      </w:r>
      <w:bookmarkEnd w:id="87"/>
      <w:bookmarkEnd w:id="88"/>
      <w:bookmarkEnd w:id="89"/>
      <w:bookmarkEnd w:id="90"/>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1.1 项目比选的说明见比选须知前附表（以下称“前附表”）第1项～第20项所述。</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1.2 上述项目按照国家有关的法律、法规作为依据，并按照</w:t>
      </w:r>
      <w:r>
        <w:rPr>
          <w:rFonts w:hint="eastAsia" w:eastAsiaTheme="minorEastAsia"/>
          <w:color w:val="auto"/>
          <w:sz w:val="24"/>
          <w:highlight w:val="none"/>
        </w:rPr>
        <w:t>桂林</w:t>
      </w:r>
      <w:r>
        <w:rPr>
          <w:rFonts w:eastAsiaTheme="minorEastAsia"/>
          <w:color w:val="auto"/>
          <w:sz w:val="24"/>
          <w:highlight w:val="none"/>
        </w:rPr>
        <w:t>市政府现行有关规定执行，</w:t>
      </w:r>
      <w:r>
        <w:rPr>
          <w:rFonts w:hint="eastAsia" w:eastAsiaTheme="minorEastAsia"/>
          <w:color w:val="auto"/>
          <w:sz w:val="24"/>
          <w:highlight w:val="none"/>
        </w:rPr>
        <w:t xml:space="preserve"> 桂林市道睿置业有限公司</w:t>
      </w:r>
      <w:r>
        <w:rPr>
          <w:rFonts w:eastAsiaTheme="minorEastAsia"/>
          <w:color w:val="auto"/>
          <w:sz w:val="24"/>
          <w:highlight w:val="none"/>
        </w:rPr>
        <w:t>现通过公开比选来择优选定服务单位。</w:t>
      </w:r>
    </w:p>
    <w:p>
      <w:pPr>
        <w:spacing w:line="360" w:lineRule="auto"/>
        <w:jc w:val="left"/>
        <w:rPr>
          <w:rFonts w:eastAsiaTheme="minorEastAsia"/>
          <w:color w:val="auto"/>
          <w:sz w:val="24"/>
          <w:highlight w:val="none"/>
        </w:rPr>
      </w:pPr>
      <w:r>
        <w:rPr>
          <w:rFonts w:eastAsiaTheme="minorEastAsia"/>
          <w:color w:val="auto"/>
          <w:sz w:val="24"/>
          <w:highlight w:val="none"/>
        </w:rPr>
        <w:t xml:space="preserve">    2.工作内容：</w:t>
      </w:r>
      <w:r>
        <w:rPr>
          <w:rFonts w:hint="eastAsia" w:eastAsiaTheme="minorEastAsia"/>
          <w:color w:val="auto"/>
          <w:sz w:val="24"/>
          <w:highlight w:val="none"/>
        </w:rPr>
        <w:t>具体详见公告附表</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3.资金来源</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资金来源见前附表第4项所述。</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4.</w:t>
      </w:r>
      <w:bookmarkStart w:id="91" w:name="_Toc114052342"/>
      <w:bookmarkStart w:id="92" w:name="_Toc286386836"/>
      <w:bookmarkStart w:id="93" w:name="_Toc310318574"/>
      <w:bookmarkStart w:id="94" w:name="_Toc114052416"/>
      <w:r>
        <w:rPr>
          <w:rFonts w:eastAsiaTheme="minorEastAsia"/>
          <w:color w:val="auto"/>
          <w:sz w:val="24"/>
          <w:highlight w:val="none"/>
        </w:rPr>
        <w:t>比选申请人资格要求</w:t>
      </w:r>
      <w:bookmarkEnd w:id="91"/>
      <w:bookmarkEnd w:id="92"/>
      <w:bookmarkEnd w:id="93"/>
      <w:bookmarkEnd w:id="94"/>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4.1比选申请人必须具有前附表第9项相应的</w:t>
      </w:r>
      <w:r>
        <w:rPr>
          <w:rFonts w:hint="eastAsia" w:eastAsiaTheme="minorEastAsia"/>
          <w:color w:val="auto"/>
          <w:sz w:val="24"/>
          <w:highlight w:val="none"/>
        </w:rPr>
        <w:t>资格</w:t>
      </w:r>
      <w:r>
        <w:rPr>
          <w:rFonts w:eastAsiaTheme="minorEastAsia"/>
          <w:color w:val="auto"/>
          <w:sz w:val="24"/>
          <w:highlight w:val="none"/>
        </w:rPr>
        <w:t>要求。</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5.</w:t>
      </w:r>
      <w:bookmarkStart w:id="95" w:name="_Toc114052343"/>
      <w:bookmarkStart w:id="96" w:name="_Toc310318575"/>
      <w:bookmarkStart w:id="97" w:name="_Toc286386837"/>
      <w:bookmarkStart w:id="98" w:name="_Toc114052417"/>
      <w:r>
        <w:rPr>
          <w:rFonts w:eastAsiaTheme="minorEastAsia"/>
          <w:color w:val="auto"/>
          <w:sz w:val="24"/>
          <w:highlight w:val="none"/>
        </w:rPr>
        <w:t>申请比选费用</w:t>
      </w:r>
      <w:bookmarkEnd w:id="95"/>
      <w:bookmarkEnd w:id="96"/>
      <w:bookmarkEnd w:id="97"/>
      <w:bookmarkEnd w:id="98"/>
    </w:p>
    <w:p>
      <w:pPr>
        <w:tabs>
          <w:tab w:val="left" w:pos="8610"/>
        </w:tabs>
        <w:spacing w:line="360" w:lineRule="auto"/>
        <w:ind w:right="-21"/>
        <w:jc w:val="left"/>
        <w:rPr>
          <w:rFonts w:eastAsiaTheme="minorEastAsia"/>
          <w:color w:val="auto"/>
          <w:sz w:val="24"/>
          <w:highlight w:val="none"/>
        </w:rPr>
      </w:pPr>
      <w:r>
        <w:rPr>
          <w:rFonts w:eastAsiaTheme="minorEastAsia"/>
          <w:color w:val="auto"/>
          <w:sz w:val="24"/>
          <w:highlight w:val="none"/>
        </w:rPr>
        <w:t xml:space="preserve">    5.1 比选申请人应承担其编制文件与递交文件所涉及的一切费用。不管评比结果如何，比选人对上述费用不负任何责任。</w:t>
      </w:r>
    </w:p>
    <w:p>
      <w:pPr>
        <w:pStyle w:val="2"/>
        <w:spacing w:before="0" w:after="0" w:line="360" w:lineRule="auto"/>
        <w:jc w:val="center"/>
        <w:rPr>
          <w:rFonts w:ascii="Times New Roman" w:hAnsi="Times New Roman" w:eastAsiaTheme="minorEastAsia"/>
          <w:color w:val="auto"/>
          <w:sz w:val="24"/>
          <w:szCs w:val="24"/>
          <w:highlight w:val="none"/>
        </w:rPr>
      </w:pPr>
      <w:bookmarkStart w:id="99" w:name="_Toc17323"/>
      <w:bookmarkStart w:id="100" w:name="_Toc15439"/>
      <w:bookmarkStart w:id="101" w:name="_Toc18809"/>
      <w:bookmarkStart w:id="102" w:name="_Toc16023"/>
      <w:bookmarkStart w:id="103" w:name="_Toc6541"/>
      <w:bookmarkStart w:id="104" w:name="_Toc16882"/>
      <w:bookmarkStart w:id="105" w:name="_Toc461525298"/>
      <w:bookmarkStart w:id="106" w:name="_Toc8029"/>
      <w:bookmarkStart w:id="107" w:name="_Toc5207"/>
      <w:bookmarkStart w:id="108" w:name="_Toc26141"/>
      <w:bookmarkStart w:id="109" w:name="_Toc25256"/>
      <w:bookmarkStart w:id="110" w:name="_Toc3066"/>
      <w:bookmarkStart w:id="111" w:name="_Toc17725"/>
      <w:bookmarkStart w:id="112" w:name="_Toc22143"/>
      <w:bookmarkStart w:id="113" w:name="_Toc16336"/>
      <w:r>
        <w:rPr>
          <w:rFonts w:ascii="Times New Roman" w:hAnsi="Times New Roman" w:eastAsiaTheme="minorEastAsia"/>
          <w:color w:val="auto"/>
          <w:sz w:val="24"/>
          <w:szCs w:val="24"/>
          <w:highlight w:val="none"/>
        </w:rPr>
        <w:t>二、比选文件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6.</w:t>
      </w:r>
      <w:bookmarkStart w:id="114" w:name="_Toc310318577"/>
      <w:bookmarkStart w:id="115" w:name="_Toc114052419"/>
      <w:bookmarkStart w:id="116" w:name="_Toc114052345"/>
      <w:bookmarkStart w:id="117" w:name="_Toc286386839"/>
      <w:r>
        <w:rPr>
          <w:rFonts w:eastAsiaTheme="minorEastAsia"/>
          <w:color w:val="auto"/>
          <w:sz w:val="24"/>
          <w:highlight w:val="none"/>
        </w:rPr>
        <w:t>比选文件的组成</w:t>
      </w:r>
      <w:bookmarkEnd w:id="114"/>
      <w:bookmarkEnd w:id="115"/>
      <w:bookmarkEnd w:id="116"/>
      <w:bookmarkEnd w:id="117"/>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6.1比选文件包括</w:t>
      </w:r>
      <w:r>
        <w:rPr>
          <w:rFonts w:hint="eastAsia" w:eastAsiaTheme="minorEastAsia"/>
          <w:color w:val="auto"/>
          <w:sz w:val="24"/>
          <w:highlight w:val="none"/>
        </w:rPr>
        <w:t>比选公告、</w:t>
      </w:r>
      <w:r>
        <w:rPr>
          <w:rFonts w:eastAsiaTheme="minorEastAsia"/>
          <w:color w:val="auto"/>
          <w:sz w:val="24"/>
          <w:highlight w:val="none"/>
        </w:rPr>
        <w:t>比选须知、合同条款、比选申请文件格式、评比办法。</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6.2比选申请人应认真审阅比选文件中所有的比选文件内容要求。如果比选申请人的比选申请文件不能符合比选文件的要求，责任由比选申请人负责。实质上不响应比选文件要求的比选申请文件将被拒绝。</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7.</w:t>
      </w:r>
      <w:bookmarkStart w:id="118" w:name="_Toc114052346"/>
      <w:bookmarkStart w:id="119" w:name="_Toc310318578"/>
      <w:bookmarkStart w:id="120" w:name="_Toc114052420"/>
      <w:bookmarkStart w:id="121" w:name="_Toc286386840"/>
      <w:r>
        <w:rPr>
          <w:rFonts w:eastAsiaTheme="minorEastAsia"/>
          <w:color w:val="auto"/>
          <w:sz w:val="24"/>
          <w:highlight w:val="none"/>
        </w:rPr>
        <w:t>比选文件的</w:t>
      </w:r>
      <w:bookmarkEnd w:id="118"/>
      <w:bookmarkEnd w:id="119"/>
      <w:bookmarkEnd w:id="120"/>
      <w:bookmarkEnd w:id="121"/>
      <w:r>
        <w:rPr>
          <w:rFonts w:eastAsiaTheme="minorEastAsia"/>
          <w:color w:val="auto"/>
          <w:sz w:val="24"/>
          <w:highlight w:val="none"/>
        </w:rPr>
        <w:t>答疑</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7.1比选申请人在获取比选文件后，若有问题需要澄清，均应在递交文件截止时间 3个工作日前的正常工作时间内，用当面递交或传真书面通知比选人，其他方式为无效。比选人将于递交文件截止时间2天前以书面形式</w:t>
      </w:r>
      <w:r>
        <w:rPr>
          <w:rFonts w:hint="eastAsia" w:eastAsiaTheme="minorEastAsia"/>
          <w:color w:val="auto"/>
          <w:sz w:val="24"/>
          <w:highlight w:val="none"/>
        </w:rPr>
        <w:t>，</w:t>
      </w:r>
      <w:r>
        <w:rPr>
          <w:rFonts w:eastAsiaTheme="minorEastAsia"/>
          <w:color w:val="auto"/>
          <w:sz w:val="24"/>
          <w:highlight w:val="none"/>
        </w:rPr>
        <w:t>在比选人官网发布，予以答复。</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8.</w:t>
      </w:r>
      <w:bookmarkStart w:id="122" w:name="_Toc310318579"/>
      <w:bookmarkStart w:id="123" w:name="_Toc286386841"/>
      <w:bookmarkStart w:id="124" w:name="_Toc114052421"/>
      <w:bookmarkStart w:id="125" w:name="_Toc114052347"/>
      <w:r>
        <w:rPr>
          <w:rFonts w:eastAsiaTheme="minorEastAsia"/>
          <w:color w:val="auto"/>
          <w:sz w:val="24"/>
          <w:highlight w:val="none"/>
        </w:rPr>
        <w:t>比选文件的修改</w:t>
      </w:r>
      <w:bookmarkEnd w:id="122"/>
      <w:bookmarkEnd w:id="123"/>
      <w:bookmarkEnd w:id="124"/>
      <w:bookmarkEnd w:id="125"/>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8.1 在递交文件截止日期前2天，比选人可以采用补充通知的方式修改比选文件。</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8.2 补充通知将以书面形式，在比选人官网发布，补充通知作为比选文件的组成部分，对比选申请人起约束作用。</w:t>
      </w:r>
    </w:p>
    <w:p>
      <w:pPr>
        <w:pStyle w:val="2"/>
        <w:spacing w:before="0" w:after="0" w:line="360" w:lineRule="auto"/>
        <w:jc w:val="center"/>
        <w:rPr>
          <w:rFonts w:ascii="Times New Roman" w:hAnsi="Times New Roman" w:eastAsiaTheme="minorEastAsia"/>
          <w:color w:val="auto"/>
          <w:sz w:val="24"/>
          <w:szCs w:val="24"/>
          <w:highlight w:val="none"/>
        </w:rPr>
      </w:pPr>
      <w:bookmarkStart w:id="126" w:name="_Toc6395"/>
      <w:bookmarkStart w:id="127" w:name="_Toc29216"/>
      <w:bookmarkStart w:id="128" w:name="_Toc24574"/>
      <w:bookmarkStart w:id="129" w:name="_Toc6662"/>
      <w:bookmarkStart w:id="130" w:name="_Toc10523"/>
      <w:bookmarkStart w:id="131" w:name="_Toc30617"/>
      <w:bookmarkStart w:id="132" w:name="_Toc26897"/>
      <w:bookmarkStart w:id="133" w:name="_Toc9199"/>
      <w:bookmarkStart w:id="134" w:name="_Toc8400"/>
      <w:bookmarkStart w:id="135" w:name="_Toc19209"/>
      <w:bookmarkStart w:id="136" w:name="_Toc18772"/>
      <w:bookmarkStart w:id="137" w:name="_Toc461525299"/>
      <w:bookmarkStart w:id="138" w:name="_Toc9453"/>
      <w:bookmarkStart w:id="139" w:name="_Toc9684"/>
      <w:bookmarkStart w:id="140" w:name="_Toc29776"/>
      <w:r>
        <w:rPr>
          <w:rFonts w:ascii="Times New Roman" w:hAnsi="Times New Roman" w:eastAsiaTheme="minorEastAsia"/>
          <w:color w:val="auto"/>
          <w:sz w:val="24"/>
          <w:szCs w:val="24"/>
          <w:highlight w:val="none"/>
        </w:rPr>
        <w:t>三、比选报价说明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9.</w:t>
      </w:r>
      <w:bookmarkStart w:id="141" w:name="_Toc114052349"/>
      <w:bookmarkStart w:id="142" w:name="_Toc114052423"/>
      <w:bookmarkStart w:id="143" w:name="_Toc286386843"/>
      <w:bookmarkStart w:id="144" w:name="_Toc310318581"/>
      <w:r>
        <w:rPr>
          <w:rFonts w:eastAsiaTheme="minorEastAsia"/>
          <w:color w:val="auto"/>
          <w:sz w:val="24"/>
          <w:highlight w:val="none"/>
        </w:rPr>
        <w:t>比选</w:t>
      </w:r>
      <w:bookmarkEnd w:id="141"/>
      <w:bookmarkEnd w:id="142"/>
      <w:bookmarkEnd w:id="143"/>
      <w:r>
        <w:rPr>
          <w:rFonts w:eastAsiaTheme="minorEastAsia"/>
          <w:color w:val="auto"/>
          <w:sz w:val="24"/>
          <w:highlight w:val="none"/>
        </w:rPr>
        <w:t>报价</w:t>
      </w:r>
      <w:bookmarkEnd w:id="144"/>
    </w:p>
    <w:p>
      <w:pPr>
        <w:spacing w:line="360" w:lineRule="auto"/>
        <w:ind w:right="753" w:firstLine="465"/>
        <w:jc w:val="left"/>
        <w:rPr>
          <w:rFonts w:eastAsiaTheme="minorEastAsia"/>
          <w:color w:val="auto"/>
          <w:sz w:val="24"/>
          <w:highlight w:val="none"/>
        </w:rPr>
      </w:pPr>
      <w:r>
        <w:rPr>
          <w:rFonts w:eastAsiaTheme="minorEastAsia"/>
          <w:color w:val="auto"/>
          <w:sz w:val="24"/>
          <w:highlight w:val="none"/>
        </w:rPr>
        <w:t>9.1申请比选报价见比选须知前附表第7项所述。</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 招标代理服务费及招标控制价编制服务费计费方式：</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9.2.1招标代理服务费=某招标项目的实际中标金额×招标代理服务费收费标准×（1-招标代理服务费比选下浮费率</w:t>
      </w:r>
      <w:r>
        <w:rPr>
          <w:rFonts w:hint="eastAsia" w:eastAsiaTheme="minorEastAsia"/>
          <w:color w:val="auto"/>
          <w:sz w:val="24"/>
          <w:highlight w:val="none"/>
          <w:u w:val="single"/>
        </w:rPr>
        <w:t xml:space="preserve">   </w:t>
      </w:r>
      <w:r>
        <w:rPr>
          <w:rFonts w:hint="eastAsia" w:eastAsiaTheme="minorEastAsia"/>
          <w:color w:val="auto"/>
          <w:sz w:val="24"/>
          <w:highlight w:val="none"/>
        </w:rPr>
        <w:t>%）（</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9.2.2 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ind w:right="753" w:firstLine="465"/>
        <w:jc w:val="left"/>
        <w:rPr>
          <w:rFonts w:eastAsiaTheme="minorEastAsia"/>
          <w:color w:val="auto"/>
          <w:sz w:val="24"/>
          <w:highlight w:val="none"/>
        </w:rPr>
      </w:pPr>
    </w:p>
    <w:p>
      <w:pPr>
        <w:pStyle w:val="2"/>
        <w:spacing w:before="0" w:after="0" w:line="360" w:lineRule="auto"/>
        <w:jc w:val="center"/>
        <w:rPr>
          <w:rFonts w:ascii="Times New Roman" w:hAnsi="Times New Roman" w:eastAsiaTheme="minorEastAsia"/>
          <w:color w:val="auto"/>
          <w:sz w:val="24"/>
          <w:szCs w:val="24"/>
          <w:highlight w:val="none"/>
        </w:rPr>
      </w:pPr>
      <w:bookmarkStart w:id="145" w:name="_Toc11943"/>
      <w:bookmarkStart w:id="146" w:name="_Toc17188"/>
      <w:bookmarkStart w:id="147" w:name="_Toc17722"/>
      <w:bookmarkStart w:id="148" w:name="_Toc461525300"/>
      <w:bookmarkStart w:id="149" w:name="_Toc17259"/>
      <w:bookmarkStart w:id="150" w:name="_Toc2346"/>
      <w:bookmarkStart w:id="151" w:name="_Toc25856"/>
      <w:bookmarkStart w:id="152" w:name="_Toc23455"/>
      <w:bookmarkStart w:id="153" w:name="_Toc18607"/>
      <w:bookmarkStart w:id="154" w:name="_Toc26723"/>
      <w:bookmarkStart w:id="155" w:name="_Toc31461"/>
      <w:bookmarkStart w:id="156" w:name="_Toc23191"/>
      <w:bookmarkStart w:id="157" w:name="_Toc25195"/>
      <w:bookmarkStart w:id="158" w:name="_Toc5583"/>
      <w:bookmarkStart w:id="159" w:name="_Toc4490"/>
      <w:r>
        <w:rPr>
          <w:rFonts w:ascii="Times New Roman" w:hAnsi="Times New Roman" w:eastAsiaTheme="minorEastAsia"/>
          <w:color w:val="auto"/>
          <w:sz w:val="24"/>
          <w:szCs w:val="24"/>
          <w:highlight w:val="none"/>
        </w:rPr>
        <w:t>四、比选申请文件的编制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10.</w:t>
      </w:r>
      <w:bookmarkStart w:id="160" w:name="_Toc286386845"/>
      <w:bookmarkStart w:id="161" w:name="_Toc310318583"/>
      <w:r>
        <w:rPr>
          <w:rFonts w:eastAsiaTheme="minorEastAsia"/>
          <w:color w:val="auto"/>
          <w:sz w:val="24"/>
          <w:highlight w:val="none"/>
        </w:rPr>
        <w:t>比选申请文件编写注意事项</w:t>
      </w:r>
      <w:bookmarkEnd w:id="160"/>
      <w:bookmarkEnd w:id="161"/>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10.1比选申请人应认真阅读比选文件，按照比选文件的要求编制比选申请文件。如果没有按照比选文件要求提交比选申请文件，没有对比选文件提出的实质性要求和条件作出响应，有可能导致该比选申请文件被拒绝。</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10.2比选文件提出的实质性要求和条件是指本比选项目所涉及的资格条件、价格、服务及其它要求、合同条款等内容。</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10.3比选申请人的比选申请文件所有来往函件统一使用中文</w:t>
      </w:r>
      <w:r>
        <w:rPr>
          <w:rFonts w:hint="eastAsia" w:eastAsiaTheme="minorEastAsia"/>
          <w:color w:val="auto"/>
          <w:sz w:val="24"/>
          <w:highlight w:val="none"/>
        </w:rPr>
        <w:t>（</w:t>
      </w:r>
      <w:r>
        <w:rPr>
          <w:rFonts w:eastAsiaTheme="minorEastAsia"/>
          <w:color w:val="auto"/>
          <w:sz w:val="24"/>
          <w:highlight w:val="none"/>
        </w:rPr>
        <w:t>特别规定除外</w:t>
      </w:r>
      <w:r>
        <w:rPr>
          <w:rFonts w:hint="eastAsia" w:eastAsiaTheme="minorEastAsia"/>
          <w:color w:val="auto"/>
          <w:sz w:val="24"/>
          <w:highlight w:val="none"/>
        </w:rPr>
        <w:t>）</w:t>
      </w:r>
      <w:r>
        <w:rPr>
          <w:rFonts w:eastAsiaTheme="minorEastAsia"/>
          <w:color w:val="auto"/>
          <w:sz w:val="24"/>
          <w:highlight w:val="none"/>
        </w:rPr>
        <w:t>。</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10.4比选申请文件中使用的计量单位除比选文件中有特殊规定外，一律使用法定计量单位。</w:t>
      </w:r>
    </w:p>
    <w:p>
      <w:pPr>
        <w:spacing w:line="360" w:lineRule="auto"/>
        <w:ind w:right="753"/>
        <w:jc w:val="left"/>
        <w:rPr>
          <w:rFonts w:eastAsiaTheme="minorEastAsia"/>
          <w:color w:val="auto"/>
          <w:sz w:val="24"/>
          <w:highlight w:val="none"/>
        </w:rPr>
      </w:pPr>
      <w:bookmarkStart w:id="162" w:name="_Toc114052352"/>
      <w:bookmarkStart w:id="163" w:name="_Toc114052426"/>
      <w:bookmarkStart w:id="164" w:name="_Toc310318584"/>
      <w:bookmarkStart w:id="165" w:name="_Toc286386846"/>
      <w:r>
        <w:rPr>
          <w:rFonts w:eastAsiaTheme="minorEastAsia"/>
          <w:color w:val="auto"/>
          <w:sz w:val="24"/>
          <w:highlight w:val="none"/>
        </w:rPr>
        <w:t xml:space="preserve">    11.比选申请文件的组成</w:t>
      </w:r>
      <w:bookmarkEnd w:id="162"/>
      <w:bookmarkEnd w:id="163"/>
      <w:bookmarkEnd w:id="164"/>
      <w:bookmarkEnd w:id="165"/>
    </w:p>
    <w:p>
      <w:pPr>
        <w:spacing w:line="360" w:lineRule="auto"/>
        <w:ind w:right="5"/>
        <w:jc w:val="left"/>
        <w:rPr>
          <w:rFonts w:eastAsiaTheme="minorEastAsia"/>
          <w:color w:val="auto"/>
          <w:sz w:val="24"/>
          <w:highlight w:val="none"/>
        </w:rPr>
      </w:pPr>
      <w:bookmarkStart w:id="166" w:name="_Toc114052354"/>
      <w:r>
        <w:rPr>
          <w:rFonts w:eastAsiaTheme="minorEastAsia"/>
          <w:color w:val="auto"/>
          <w:sz w:val="24"/>
          <w:highlight w:val="none"/>
        </w:rPr>
        <w:t>比选申请文件由报价部分、资信部分和技术部分</w:t>
      </w:r>
      <w:r>
        <w:rPr>
          <w:rFonts w:hint="eastAsia" w:eastAsiaTheme="minorEastAsia"/>
          <w:color w:val="auto"/>
          <w:sz w:val="24"/>
          <w:highlight w:val="none"/>
        </w:rPr>
        <w:t>三</w:t>
      </w:r>
      <w:r>
        <w:rPr>
          <w:rFonts w:eastAsiaTheme="minorEastAsia"/>
          <w:color w:val="auto"/>
          <w:sz w:val="24"/>
          <w:highlight w:val="none"/>
        </w:rPr>
        <w:t>部分组成，详细要求与部分格式详见第四章。</w:t>
      </w:r>
    </w:p>
    <w:bookmarkEnd w:id="166"/>
    <w:p>
      <w:pPr>
        <w:spacing w:line="360" w:lineRule="auto"/>
        <w:ind w:right="753" w:firstLine="480" w:firstLineChars="200"/>
        <w:jc w:val="left"/>
        <w:rPr>
          <w:rFonts w:eastAsiaTheme="minorEastAsia"/>
          <w:color w:val="auto"/>
          <w:sz w:val="24"/>
          <w:highlight w:val="none"/>
        </w:rPr>
      </w:pPr>
      <w:bookmarkStart w:id="167" w:name="_Hlk526867334"/>
      <w:r>
        <w:rPr>
          <w:rFonts w:eastAsiaTheme="minorEastAsia"/>
          <w:color w:val="auto"/>
          <w:sz w:val="24"/>
          <w:highlight w:val="none"/>
        </w:rPr>
        <w:t>11.</w:t>
      </w:r>
      <w:r>
        <w:rPr>
          <w:rFonts w:hint="eastAsia" w:eastAsiaTheme="minorEastAsia"/>
          <w:color w:val="auto"/>
          <w:sz w:val="24"/>
          <w:highlight w:val="none"/>
        </w:rPr>
        <w:t>1</w:t>
      </w:r>
      <w:r>
        <w:rPr>
          <w:rFonts w:eastAsiaTheme="minorEastAsia"/>
          <w:color w:val="auto"/>
          <w:sz w:val="24"/>
          <w:highlight w:val="none"/>
        </w:rPr>
        <w:t>报价部分主要包括下列内容：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（1）报价表；</w:t>
      </w:r>
    </w:p>
    <w:bookmarkEnd w:id="167"/>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4</w:t>
      </w:r>
      <w:r>
        <w:rPr>
          <w:rFonts w:eastAsiaTheme="minorEastAsia"/>
          <w:color w:val="auto"/>
          <w:sz w:val="24"/>
          <w:highlight w:val="none"/>
        </w:rPr>
        <w:t>比选申请人需按照比选人提供的比选申请文件格式和顺序编制比选申请文件，但表格可以按同样格式扩展。</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5</w:t>
      </w:r>
      <w:r>
        <w:rPr>
          <w:rFonts w:eastAsiaTheme="minorEastAsia"/>
          <w:color w:val="auto"/>
          <w:sz w:val="24"/>
          <w:highlight w:val="none"/>
        </w:rPr>
        <w:t>比选申请文件中所有复印件均需加盖比选申请人公章，按比选文件要求签字、盖章。</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6比选申请文件格式要求：</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（1）采用A</w:t>
      </w:r>
      <w:r>
        <w:rPr>
          <w:rFonts w:eastAsiaTheme="minorEastAsia"/>
          <w:color w:val="auto"/>
          <w:sz w:val="24"/>
          <w:highlight w:val="none"/>
        </w:rPr>
        <w:t>4</w:t>
      </w:r>
      <w:r>
        <w:rPr>
          <w:rFonts w:hint="eastAsia" w:eastAsiaTheme="minorEastAsia"/>
          <w:color w:val="auto"/>
          <w:sz w:val="24"/>
          <w:highlight w:val="none"/>
        </w:rPr>
        <w:t>纸张、胶装；</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（2）比选申请文件厚度不超过1厘米，页码不超过</w:t>
      </w:r>
      <w:r>
        <w:rPr>
          <w:rFonts w:eastAsiaTheme="minorEastAsia"/>
          <w:color w:val="auto"/>
          <w:sz w:val="24"/>
          <w:highlight w:val="none"/>
        </w:rPr>
        <w:t>200</w:t>
      </w:r>
      <w:r>
        <w:rPr>
          <w:rFonts w:hint="eastAsia" w:eastAsiaTheme="minorEastAsia"/>
          <w:color w:val="auto"/>
          <w:sz w:val="24"/>
          <w:highlight w:val="none"/>
        </w:rPr>
        <w:t>页。</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12.</w:t>
      </w:r>
      <w:bookmarkStart w:id="168" w:name="_Toc310318585"/>
      <w:bookmarkStart w:id="169" w:name="_Toc114052363"/>
      <w:bookmarkStart w:id="170" w:name="_Toc114052427"/>
      <w:bookmarkStart w:id="171" w:name="_Toc286386847"/>
      <w:r>
        <w:rPr>
          <w:rFonts w:eastAsiaTheme="minorEastAsia"/>
          <w:color w:val="auto"/>
          <w:sz w:val="24"/>
          <w:highlight w:val="none"/>
        </w:rPr>
        <w:t>比选有效期</w:t>
      </w:r>
      <w:bookmarkEnd w:id="168"/>
      <w:bookmarkEnd w:id="169"/>
      <w:bookmarkEnd w:id="170"/>
      <w:bookmarkEnd w:id="171"/>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12.1 比选申请文件在前附表第14</w:t>
      </w:r>
      <w:r>
        <w:rPr>
          <w:rFonts w:hint="eastAsia" w:eastAsiaTheme="minorEastAsia"/>
          <w:color w:val="auto"/>
          <w:sz w:val="24"/>
          <w:highlight w:val="none"/>
        </w:rPr>
        <w:t>项</w:t>
      </w:r>
      <w:r>
        <w:rPr>
          <w:rFonts w:eastAsiaTheme="minorEastAsia"/>
          <w:color w:val="auto"/>
          <w:sz w:val="24"/>
          <w:highlight w:val="none"/>
        </w:rPr>
        <w:t>规定的递交比选申请文件日期之后的</w:t>
      </w:r>
      <w:r>
        <w:rPr>
          <w:rFonts w:hint="eastAsia" w:eastAsiaTheme="minorEastAsia"/>
          <w:color w:val="auto"/>
          <w:sz w:val="24"/>
          <w:highlight w:val="none"/>
        </w:rPr>
        <w:t>270天</w:t>
      </w:r>
      <w:r>
        <w:rPr>
          <w:rFonts w:eastAsiaTheme="minorEastAsia"/>
          <w:color w:val="auto"/>
          <w:sz w:val="24"/>
          <w:highlight w:val="none"/>
        </w:rPr>
        <w:t>内有效。</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13.</w:t>
      </w:r>
      <w:bookmarkStart w:id="172" w:name="_Toc114052366"/>
      <w:bookmarkStart w:id="173" w:name="_Toc286386850"/>
      <w:bookmarkStart w:id="174" w:name="_Toc114052430"/>
      <w:bookmarkStart w:id="175" w:name="_Toc310318588"/>
      <w:r>
        <w:rPr>
          <w:rFonts w:eastAsiaTheme="minorEastAsia"/>
          <w:color w:val="auto"/>
          <w:sz w:val="24"/>
          <w:highlight w:val="none"/>
        </w:rPr>
        <w:t>比选申请文件的份数</w:t>
      </w:r>
      <w:bookmarkEnd w:id="172"/>
      <w:bookmarkEnd w:id="173"/>
      <w:bookmarkEnd w:id="174"/>
      <w:bookmarkEnd w:id="175"/>
      <w:r>
        <w:rPr>
          <w:rFonts w:eastAsiaTheme="minorEastAsia"/>
          <w:color w:val="auto"/>
          <w:sz w:val="24"/>
          <w:highlight w:val="none"/>
        </w:rPr>
        <w:t>和签署</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13.1比选申请人按比选文件规定，编制一份比选申请文件“正本”和</w:t>
      </w:r>
      <w:r>
        <w:rPr>
          <w:rFonts w:hint="eastAsia" w:eastAsiaTheme="minorEastAsia"/>
          <w:color w:val="auto"/>
          <w:sz w:val="24"/>
          <w:highlight w:val="none"/>
        </w:rPr>
        <w:t>二</w:t>
      </w:r>
      <w:r>
        <w:rPr>
          <w:rFonts w:eastAsiaTheme="minorEastAsia"/>
          <w:color w:val="auto"/>
          <w:sz w:val="24"/>
          <w:highlight w:val="none"/>
        </w:rPr>
        <w:t>份比选申请文件“副本”，并标明“比选申请文件正本”和“比选申请文件副本”。比选申请文件正本和副本如有不一致之处，以正本为准。</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13.2比选申请文件正本与副本均应使用不能擦去的黑色墨水打印或书写，装订成册，由比选申请人法定代表人或其授权委托代理人亲自签署或加盖印鉴，并加盖比选申请人单位公章。</w:t>
      </w:r>
      <w:r>
        <w:rPr>
          <w:rFonts w:hint="eastAsia" w:eastAsiaTheme="minorEastAsia"/>
          <w:b/>
          <w:bCs/>
          <w:color w:val="auto"/>
          <w:sz w:val="24"/>
          <w:highlight w:val="none"/>
        </w:rPr>
        <w:t>如是授权委托代理人签字，请注意需附上相应授权委托书，格式自拟</w:t>
      </w:r>
      <w:r>
        <w:rPr>
          <w:rFonts w:hint="eastAsia" w:eastAsiaTheme="minorEastAsia"/>
          <w:color w:val="auto"/>
          <w:sz w:val="24"/>
          <w:highlight w:val="none"/>
        </w:rPr>
        <w:t>。</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13.3全套比选申请文件应无涂改和行间插字，除非这些删改是根据比选人指示进行的；或者是比选申请人造成的必须修改的错误，但修改处应由比选申请文件签字人签字证明，否则修改无效。</w:t>
      </w:r>
    </w:p>
    <w:p>
      <w:pPr>
        <w:pStyle w:val="2"/>
        <w:spacing w:before="0" w:after="0" w:line="360" w:lineRule="auto"/>
        <w:jc w:val="center"/>
        <w:rPr>
          <w:rFonts w:ascii="Times New Roman" w:hAnsi="Times New Roman" w:eastAsiaTheme="minorEastAsia"/>
          <w:color w:val="auto"/>
          <w:sz w:val="24"/>
          <w:szCs w:val="24"/>
          <w:highlight w:val="none"/>
        </w:rPr>
      </w:pPr>
      <w:bookmarkStart w:id="176" w:name="_Toc32074"/>
      <w:bookmarkStart w:id="177" w:name="_Toc14726"/>
      <w:bookmarkStart w:id="178" w:name="_Toc2153"/>
      <w:bookmarkStart w:id="179" w:name="_Toc28652"/>
      <w:bookmarkStart w:id="180" w:name="_Toc461525301"/>
      <w:bookmarkStart w:id="181" w:name="_Toc23604"/>
      <w:bookmarkStart w:id="182" w:name="_Toc19276"/>
      <w:bookmarkStart w:id="183" w:name="_Toc25460"/>
      <w:bookmarkStart w:id="184" w:name="_Toc31804"/>
      <w:bookmarkStart w:id="185" w:name="_Toc28307"/>
      <w:bookmarkStart w:id="186" w:name="_Toc11391"/>
      <w:bookmarkStart w:id="187" w:name="_Toc16937"/>
      <w:bookmarkStart w:id="188" w:name="_Toc23101"/>
      <w:bookmarkStart w:id="189" w:name="_Toc15955"/>
      <w:bookmarkStart w:id="190" w:name="_Toc2337"/>
      <w:r>
        <w:rPr>
          <w:rFonts w:ascii="Times New Roman" w:hAnsi="Times New Roman" w:eastAsiaTheme="minorEastAsia"/>
          <w:color w:val="auto"/>
          <w:sz w:val="24"/>
          <w:szCs w:val="24"/>
          <w:highlight w:val="none"/>
        </w:rPr>
        <w:t>五、比选申请文件的递交</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.比选申请文件的密封与标志</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.1比选申请文件装订要求：比选申请文件中报价部分、资信部分和技术部分装订到一本中。</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.2密封袋封口处都应加盖比选申请人公章或粘贴加盖公章的密封条，若密封袋没有加盖公章或破损严重，有可能导致比选人的拒收。</w:t>
      </w:r>
    </w:p>
    <w:p>
      <w:pPr>
        <w:spacing w:line="360" w:lineRule="auto"/>
        <w:ind w:right="30" w:firstLine="480" w:firstLineChars="200"/>
        <w:jc w:val="left"/>
        <w:rPr>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.3比选申请文件递交至前附表第13项所述的单位和地址</w:t>
      </w:r>
      <w:r>
        <w:rPr>
          <w:color w:val="auto"/>
          <w:kern w:val="0"/>
          <w:sz w:val="24"/>
          <w:highlight w:val="none"/>
          <w:shd w:val="clear" w:color="auto" w:fill="FFFFFF"/>
          <w:lang w:bidi="ar"/>
        </w:rPr>
        <w:t>，逾期送达的</w:t>
      </w:r>
      <w:r>
        <w:rPr>
          <w:rFonts w:hint="eastAsia"/>
          <w:color w:val="auto"/>
          <w:kern w:val="0"/>
          <w:sz w:val="24"/>
          <w:highlight w:val="none"/>
          <w:shd w:val="clear" w:color="auto" w:fill="FFFFFF"/>
          <w:lang w:bidi="ar"/>
        </w:rPr>
        <w:t>比选申请</w:t>
      </w:r>
      <w:r>
        <w:rPr>
          <w:color w:val="auto"/>
          <w:kern w:val="0"/>
          <w:sz w:val="24"/>
          <w:highlight w:val="none"/>
          <w:shd w:val="clear" w:color="auto" w:fill="FFFFFF"/>
          <w:lang w:bidi="ar"/>
        </w:rPr>
        <w:t>文件无效，后果由</w:t>
      </w:r>
      <w:r>
        <w:rPr>
          <w:rFonts w:hint="eastAsia"/>
          <w:color w:val="auto"/>
          <w:kern w:val="0"/>
          <w:sz w:val="24"/>
          <w:highlight w:val="none"/>
          <w:shd w:val="clear" w:color="auto" w:fill="FFFFFF"/>
          <w:lang w:bidi="ar"/>
        </w:rPr>
        <w:t>比选申请人</w:t>
      </w:r>
      <w:r>
        <w:rPr>
          <w:color w:val="auto"/>
          <w:kern w:val="0"/>
          <w:sz w:val="24"/>
          <w:highlight w:val="none"/>
          <w:shd w:val="clear" w:color="auto" w:fill="FFFFFF"/>
          <w:lang w:bidi="ar"/>
        </w:rPr>
        <w:t>自行承担</w:t>
      </w:r>
      <w:r>
        <w:rPr>
          <w:rFonts w:hint="eastAsia"/>
          <w:color w:val="auto"/>
          <w:kern w:val="0"/>
          <w:sz w:val="24"/>
          <w:highlight w:val="none"/>
          <w:shd w:val="clear" w:color="auto" w:fill="FFFFFF"/>
          <w:lang w:bidi="ar"/>
        </w:rPr>
        <w:t>。</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.递交比选文件截止期</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.1</w:t>
      </w:r>
      <w:r>
        <w:rPr>
          <w:rFonts w:hint="eastAsia" w:eastAsiaTheme="minorEastAsia"/>
          <w:color w:val="auto"/>
          <w:sz w:val="24"/>
          <w:highlight w:val="none"/>
        </w:rPr>
        <w:t>根据新冠肺炎疫情防控要求，比选申请人无需到场参加</w:t>
      </w:r>
      <w:r>
        <w:rPr>
          <w:rFonts w:eastAsiaTheme="minorEastAsia"/>
          <w:color w:val="auto"/>
          <w:sz w:val="24"/>
          <w:highlight w:val="none"/>
        </w:rPr>
        <w:t>评比会议</w:t>
      </w:r>
      <w:r>
        <w:rPr>
          <w:rFonts w:hint="eastAsia" w:eastAsiaTheme="minorEastAsia"/>
          <w:color w:val="auto"/>
          <w:sz w:val="24"/>
          <w:highlight w:val="none"/>
        </w:rPr>
        <w:t>。</w:t>
      </w:r>
      <w:r>
        <w:rPr>
          <w:rFonts w:eastAsiaTheme="minorEastAsia"/>
          <w:color w:val="auto"/>
          <w:sz w:val="24"/>
          <w:highlight w:val="none"/>
        </w:rPr>
        <w:t>比选申请人应在前附表第14项所述规定的时间，将比选申请文件递交至前附表第1</w:t>
      </w:r>
      <w:r>
        <w:rPr>
          <w:rFonts w:hint="eastAsia" w:eastAsiaTheme="minorEastAsia"/>
          <w:color w:val="auto"/>
          <w:sz w:val="24"/>
          <w:highlight w:val="none"/>
        </w:rPr>
        <w:t>3</w:t>
      </w:r>
      <w:r>
        <w:rPr>
          <w:rFonts w:eastAsiaTheme="minorEastAsia"/>
          <w:color w:val="auto"/>
          <w:sz w:val="24"/>
          <w:highlight w:val="none"/>
        </w:rPr>
        <w:t>项所述的单位和地址</w:t>
      </w:r>
      <w:r>
        <w:rPr>
          <w:rFonts w:hint="eastAsia" w:eastAsiaTheme="minorEastAsia"/>
          <w:color w:val="auto"/>
          <w:sz w:val="24"/>
          <w:highlight w:val="none"/>
        </w:rPr>
        <w:t>，即可离去</w:t>
      </w:r>
      <w:r>
        <w:rPr>
          <w:rFonts w:eastAsiaTheme="minorEastAsia"/>
          <w:color w:val="auto"/>
          <w:sz w:val="24"/>
          <w:highlight w:val="none"/>
        </w:rPr>
        <w:t>。</w:t>
      </w:r>
    </w:p>
    <w:p>
      <w:pPr>
        <w:pStyle w:val="2"/>
        <w:spacing w:before="0" w:after="0" w:line="360" w:lineRule="auto"/>
        <w:jc w:val="center"/>
        <w:rPr>
          <w:rFonts w:ascii="Times New Roman" w:hAnsi="Times New Roman" w:eastAsiaTheme="minorEastAsia"/>
          <w:color w:val="auto"/>
          <w:sz w:val="24"/>
          <w:szCs w:val="24"/>
          <w:highlight w:val="none"/>
        </w:rPr>
      </w:pPr>
      <w:bookmarkStart w:id="191" w:name="_Toc29047"/>
      <w:bookmarkStart w:id="192" w:name="_Toc32687"/>
      <w:bookmarkStart w:id="193" w:name="_Toc20601"/>
      <w:bookmarkStart w:id="194" w:name="_Toc20356"/>
      <w:bookmarkStart w:id="195" w:name="_Toc30232"/>
      <w:bookmarkStart w:id="196" w:name="_Toc31139"/>
      <w:bookmarkStart w:id="197" w:name="_Toc27095"/>
      <w:bookmarkStart w:id="198" w:name="_Toc17217"/>
      <w:bookmarkStart w:id="199" w:name="_Toc31034"/>
      <w:bookmarkStart w:id="200" w:name="_Toc461525302"/>
      <w:bookmarkStart w:id="201" w:name="_Toc22118"/>
      <w:bookmarkStart w:id="202" w:name="_Toc6376"/>
      <w:bookmarkStart w:id="203" w:name="_Toc1057"/>
      <w:bookmarkStart w:id="204" w:name="_Toc24246"/>
      <w:bookmarkStart w:id="205" w:name="_Toc30269"/>
      <w:r>
        <w:rPr>
          <w:rFonts w:ascii="Times New Roman" w:hAnsi="Times New Roman" w:eastAsiaTheme="minorEastAsia"/>
          <w:color w:val="auto"/>
          <w:sz w:val="24"/>
          <w:szCs w:val="24"/>
          <w:highlight w:val="none"/>
        </w:rPr>
        <w:t>六、评</w:t>
      </w:r>
      <w:bookmarkEnd w:id="191"/>
      <w:bookmarkEnd w:id="192"/>
      <w:bookmarkEnd w:id="193"/>
      <w:r>
        <w:rPr>
          <w:rFonts w:ascii="Times New Roman" w:hAnsi="Times New Roman" w:eastAsiaTheme="minorEastAsia"/>
          <w:color w:val="auto"/>
          <w:sz w:val="24"/>
          <w:szCs w:val="24"/>
          <w:highlight w:val="none"/>
        </w:rPr>
        <w:t>比</w:t>
      </w:r>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17.评比办法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17.1详见第五章</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18确定中选人</w:t>
      </w:r>
    </w:p>
    <w:p>
      <w:pPr>
        <w:spacing w:line="360" w:lineRule="auto"/>
        <w:ind w:right="5" w:firstLine="480" w:firstLineChars="200"/>
        <w:jc w:val="both"/>
        <w:rPr>
          <w:rFonts w:hint="eastAsia" w:eastAsiaTheme="minorEastAsia"/>
          <w:b/>
          <w:bCs/>
          <w:color w:val="auto"/>
          <w:sz w:val="24"/>
          <w:highlight w:val="none"/>
        </w:rPr>
      </w:pPr>
      <w:r>
        <w:rPr>
          <w:rFonts w:eastAsiaTheme="minorEastAsia"/>
          <w:color w:val="auto"/>
          <w:sz w:val="24"/>
          <w:highlight w:val="none"/>
        </w:rPr>
        <w:t>18.1</w:t>
      </w:r>
      <w:r>
        <w:rPr>
          <w:rFonts w:hint="eastAsia" w:eastAsiaTheme="minorEastAsia"/>
          <w:b/>
          <w:bCs/>
          <w:color w:val="auto"/>
          <w:sz w:val="24"/>
          <w:highlight w:val="none"/>
        </w:rPr>
        <w:t>本次比选选择一家采购代理机构，即按评比后按照投标下浮率由高到低的排列顺序推荐综合得分排名第一的为中标人</w:t>
      </w:r>
    </w:p>
    <w:p>
      <w:pPr>
        <w:spacing w:line="360" w:lineRule="auto"/>
        <w:ind w:right="5" w:firstLine="482" w:firstLineChars="200"/>
        <w:jc w:val="both"/>
        <w:rPr>
          <w:rFonts w:eastAsiaTheme="minorEastAsia"/>
          <w:b/>
          <w:bCs/>
          <w:color w:val="auto"/>
          <w:sz w:val="24"/>
          <w:highlight w:val="none"/>
        </w:rPr>
      </w:pPr>
      <w:r>
        <w:rPr>
          <w:rFonts w:hint="eastAsia" w:eastAsiaTheme="minorEastAsia"/>
          <w:b/>
          <w:bCs/>
          <w:color w:val="auto"/>
          <w:sz w:val="24"/>
          <w:highlight w:val="none"/>
        </w:rPr>
        <w:t>如果有2个或2个以上的比选申请人投标下浮率相同，则业绩较高的排名靠前确定排名顺序。</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18.2如排名第一的中选候选人放弃中选或因不可抗力提出不能履行合同的，可以确定排名第二的中选候选人为中选人；如排名第二的中选候选人仍放弃中选或因不可抗力提出不能履行合同的，可以确定排名第三的中选候选人为中选人</w:t>
      </w:r>
      <w:r>
        <w:rPr>
          <w:rFonts w:hint="eastAsia" w:eastAsiaTheme="minorEastAsia"/>
          <w:color w:val="auto"/>
          <w:sz w:val="24"/>
          <w:highlight w:val="none"/>
        </w:rPr>
        <w:t>，比选人也可以重新比选</w:t>
      </w:r>
      <w:r>
        <w:rPr>
          <w:rFonts w:eastAsiaTheme="minorEastAsia"/>
          <w:color w:val="auto"/>
          <w:sz w:val="24"/>
          <w:highlight w:val="none"/>
        </w:rPr>
        <w:t>。</w:t>
      </w:r>
    </w:p>
    <w:p>
      <w:pPr>
        <w:spacing w:line="360" w:lineRule="auto"/>
        <w:ind w:right="753" w:firstLine="480" w:firstLineChars="200"/>
        <w:jc w:val="left"/>
        <w:rPr>
          <w:rFonts w:eastAsiaTheme="minorEastAsia"/>
          <w:color w:val="auto"/>
          <w:sz w:val="24"/>
          <w:highlight w:val="none"/>
        </w:rPr>
      </w:pPr>
      <w:bookmarkStart w:id="206" w:name="_Toc310318599"/>
      <w:bookmarkStart w:id="207" w:name="_Toc286386861"/>
      <w:bookmarkStart w:id="208" w:name="_Toc114052441"/>
      <w:bookmarkStart w:id="209" w:name="_Toc114052377"/>
      <w:r>
        <w:rPr>
          <w:rFonts w:eastAsiaTheme="minorEastAsia"/>
          <w:color w:val="auto"/>
          <w:sz w:val="24"/>
          <w:highlight w:val="none"/>
        </w:rPr>
        <w:t>19.评比结果公示</w:t>
      </w:r>
      <w:bookmarkEnd w:id="206"/>
      <w:bookmarkEnd w:id="207"/>
      <w:bookmarkEnd w:id="208"/>
      <w:bookmarkEnd w:id="209"/>
    </w:p>
    <w:p>
      <w:pPr>
        <w:spacing w:line="360" w:lineRule="auto"/>
        <w:ind w:right="-21" w:firstLine="480" w:firstLineChars="200"/>
        <w:jc w:val="left"/>
        <w:rPr>
          <w:rFonts w:eastAsiaTheme="minorEastAsia"/>
          <w:color w:val="auto"/>
          <w:sz w:val="24"/>
          <w:highlight w:val="none"/>
        </w:rPr>
      </w:pPr>
      <w:r>
        <w:rPr>
          <w:rFonts w:eastAsiaTheme="minorEastAsia"/>
          <w:sz w:val="24"/>
          <w:highlight w:val="none"/>
        </w:rPr>
        <w:t>19.1在评比结束后，比选人将</w:t>
      </w:r>
      <w:r>
        <w:rPr>
          <w:rFonts w:hint="eastAsia" w:eastAsiaTheme="minorEastAsia"/>
          <w:sz w:val="24"/>
          <w:highlight w:val="none"/>
        </w:rPr>
        <w:t>自行通知中标单位评比结果，以收到中标通知书为准</w:t>
      </w:r>
      <w:r>
        <w:rPr>
          <w:rFonts w:eastAsiaTheme="minorEastAsia"/>
          <w:sz w:val="24"/>
          <w:highlight w:val="none"/>
        </w:rPr>
        <w:t>。</w:t>
      </w:r>
      <w:r>
        <w:rPr>
          <w:rFonts w:hint="eastAsia" w:eastAsiaTheme="minorEastAsia"/>
          <w:sz w:val="24"/>
          <w:highlight w:val="none"/>
        </w:rPr>
        <w:t>未接到通知的则未中标。</w:t>
      </w:r>
    </w:p>
    <w:p>
      <w:pPr>
        <w:pStyle w:val="2"/>
        <w:spacing w:before="0" w:after="0" w:line="360" w:lineRule="auto"/>
        <w:jc w:val="center"/>
        <w:rPr>
          <w:rFonts w:ascii="Times New Roman" w:hAnsi="Times New Roman" w:eastAsiaTheme="minorEastAsia"/>
          <w:color w:val="auto"/>
          <w:sz w:val="24"/>
          <w:szCs w:val="24"/>
          <w:highlight w:val="none"/>
        </w:rPr>
      </w:pPr>
      <w:bookmarkStart w:id="210" w:name="_Toc24212"/>
      <w:bookmarkStart w:id="211" w:name="_Toc6141"/>
      <w:bookmarkStart w:id="212" w:name="_Toc16746"/>
      <w:bookmarkStart w:id="213" w:name="_Toc8363"/>
      <w:bookmarkStart w:id="214" w:name="_Toc20403"/>
      <w:bookmarkStart w:id="215" w:name="_Toc24316"/>
      <w:bookmarkStart w:id="216" w:name="_Toc16935"/>
      <w:bookmarkStart w:id="217" w:name="_Toc30023"/>
      <w:bookmarkStart w:id="218" w:name="_Toc461525303"/>
      <w:bookmarkStart w:id="219" w:name="_Toc12010"/>
      <w:bookmarkStart w:id="220" w:name="_Toc14798"/>
      <w:bookmarkStart w:id="221" w:name="_Toc529"/>
      <w:bookmarkStart w:id="222" w:name="_Toc17996"/>
      <w:bookmarkStart w:id="223" w:name="_Toc19549"/>
      <w:bookmarkStart w:id="224" w:name="_Toc11826"/>
      <w:r>
        <w:rPr>
          <w:rFonts w:ascii="Times New Roman" w:hAnsi="Times New Roman" w:eastAsiaTheme="minorEastAsia"/>
          <w:color w:val="auto"/>
          <w:sz w:val="24"/>
          <w:szCs w:val="24"/>
          <w:highlight w:val="none"/>
        </w:rPr>
        <w:t>七、授予合同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20.中选通知书</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20.1比选人将向中选人发出中选通知书。</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20.2比选人无义务向落选的比选申请人解释落选原因和退还比选申请文件。</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20.3中选通知书作为合同的组成部分。</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21.合同的签署</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21.1中选人应按中选通知书中的相关要求，由中选人法定代表人或其授权代表前往比选人处与比选人进行签订合同。</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21.2中选人如放弃中选资格，则比选人有权将其列入不良行为记录名单、两年内禁止其参加比选人发起的任何比选活动。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21.3中选人被废除中选资格后，比选人有权将标的授予后续中选候选人。</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w:t>
      </w:r>
      <w:r>
        <w:rPr>
          <w:rFonts w:hint="eastAsia" w:eastAsiaTheme="minorEastAsia"/>
          <w:color w:val="auto"/>
          <w:sz w:val="24"/>
          <w:highlight w:val="none"/>
        </w:rPr>
        <w:t>4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参与。</w:t>
      </w:r>
    </w:p>
    <w:p>
      <w:pPr>
        <w:pStyle w:val="3"/>
        <w:spacing w:before="0" w:after="0" w:line="360" w:lineRule="auto"/>
        <w:rPr>
          <w:rFonts w:eastAsiaTheme="minorEastAsia"/>
          <w:color w:val="auto"/>
          <w:sz w:val="24"/>
          <w:szCs w:val="24"/>
          <w:highlight w:val="none"/>
        </w:rPr>
      </w:pPr>
      <w:r>
        <w:rPr>
          <w:rFonts w:eastAsiaTheme="minorEastAsia"/>
          <w:color w:val="auto"/>
          <w:sz w:val="21"/>
          <w:szCs w:val="21"/>
          <w:highlight w:val="none"/>
        </w:rPr>
        <w:br w:type="page"/>
      </w:r>
      <w:bookmarkStart w:id="225" w:name="_Toc21358"/>
      <w:bookmarkStart w:id="226" w:name="_Toc5964"/>
      <w:bookmarkStart w:id="227" w:name="_Toc16062"/>
      <w:bookmarkStart w:id="228" w:name="_Toc12854"/>
      <w:bookmarkStart w:id="229" w:name="_Toc1354"/>
      <w:bookmarkStart w:id="230" w:name="_Toc21670"/>
      <w:bookmarkStart w:id="231" w:name="_Toc2960"/>
      <w:bookmarkStart w:id="232" w:name="_Toc10784"/>
      <w:bookmarkStart w:id="233" w:name="_Toc4769"/>
      <w:bookmarkStart w:id="234" w:name="_Toc31070"/>
      <w:bookmarkStart w:id="235" w:name="_Toc461525304"/>
      <w:bookmarkStart w:id="236" w:name="_Toc22437"/>
      <w:bookmarkStart w:id="237" w:name="_Toc333307121"/>
      <w:bookmarkStart w:id="238" w:name="_Toc7234"/>
      <w:r>
        <w:rPr>
          <w:rFonts w:eastAsiaTheme="minorEastAsia"/>
          <w:color w:val="auto"/>
          <w:szCs w:val="28"/>
          <w:highlight w:val="none"/>
        </w:rPr>
        <w:t>第三章合同条款</w:t>
      </w:r>
      <w:bookmarkEnd w:id="225"/>
      <w:bookmarkEnd w:id="226"/>
      <w:bookmarkEnd w:id="227"/>
      <w:bookmarkEnd w:id="228"/>
      <w:bookmarkEnd w:id="229"/>
      <w:bookmarkEnd w:id="230"/>
      <w:bookmarkEnd w:id="231"/>
      <w:bookmarkEnd w:id="232"/>
      <w:bookmarkEnd w:id="233"/>
      <w:bookmarkEnd w:id="234"/>
      <w:bookmarkEnd w:id="235"/>
      <w:bookmarkEnd w:id="236"/>
    </w:p>
    <w:p>
      <w:pPr>
        <w:pStyle w:val="2"/>
        <w:spacing w:before="0" w:after="0" w:line="360" w:lineRule="auto"/>
        <w:jc w:val="center"/>
        <w:rPr>
          <w:rFonts w:ascii="Times New Roman" w:hAnsi="Times New Roman" w:eastAsiaTheme="minorEastAsia"/>
          <w:color w:val="auto"/>
          <w:szCs w:val="28"/>
          <w:highlight w:val="none"/>
        </w:rPr>
      </w:pPr>
      <w:bookmarkStart w:id="239" w:name="_Toc5447"/>
      <w:bookmarkStart w:id="240" w:name="_Toc14791"/>
      <w:r>
        <w:rPr>
          <w:rFonts w:ascii="Times New Roman" w:hAnsi="Times New Roman" w:eastAsiaTheme="minorEastAsia"/>
          <w:color w:val="auto"/>
          <w:szCs w:val="28"/>
          <w:highlight w:val="none"/>
        </w:rPr>
        <w:t>工程建设项目招标代理协议书</w:t>
      </w:r>
      <w:bookmarkEnd w:id="239"/>
      <w:bookmarkEnd w:id="240"/>
    </w:p>
    <w:p>
      <w:pPr>
        <w:spacing w:line="360" w:lineRule="auto"/>
        <w:ind w:firstLine="480" w:firstLineChars="200"/>
        <w:rPr>
          <w:rFonts w:hint="eastAsia" w:eastAsiaTheme="minorEastAsia"/>
          <w:color w:val="auto"/>
          <w:sz w:val="24"/>
          <w:highlight w:val="none"/>
          <w:u w:val="single"/>
          <w:lang w:val="en-US" w:eastAsia="zh-CN"/>
        </w:rPr>
      </w:pPr>
      <w:r>
        <w:rPr>
          <w:rFonts w:eastAsiaTheme="minorEastAsia"/>
          <w:color w:val="auto"/>
          <w:sz w:val="24"/>
          <w:highlight w:val="none"/>
        </w:rPr>
        <w:t>委托人：</w:t>
      </w:r>
      <w:r>
        <w:rPr>
          <w:rFonts w:hint="eastAsia" w:eastAsiaTheme="minorEastAsia"/>
          <w:color w:val="auto"/>
          <w:sz w:val="24"/>
          <w:highlight w:val="none"/>
          <w:u w:val="single"/>
        </w:rPr>
        <w:t xml:space="preserve"> </w:t>
      </w:r>
      <w:r>
        <w:rPr>
          <w:rFonts w:hint="eastAsia" w:eastAsiaTheme="minorEastAsia"/>
          <w:color w:val="auto"/>
          <w:sz w:val="24"/>
          <w:highlight w:val="none"/>
          <w:u w:val="single"/>
          <w:lang w:val="en-US" w:eastAsia="zh-CN"/>
        </w:rPr>
        <w:t xml:space="preserve"> </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受托人：</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依照《中华人民共和国合同法》、《中华人民共和国招标投标法》及国家的有关法律、行政法规，遵循平等、自愿、公平和诚实信用的原则</w:t>
      </w:r>
      <w:r>
        <w:rPr>
          <w:rFonts w:hint="eastAsia" w:eastAsiaTheme="minorEastAsia"/>
          <w:color w:val="auto"/>
          <w:sz w:val="24"/>
          <w:highlight w:val="none"/>
        </w:rPr>
        <w:t>，双方就招标代理事项协商一致，订立本合同。</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一、委托人委托受托人为项目的招标代理机构，承担本项目的</w:t>
      </w:r>
      <w:r>
        <w:rPr>
          <w:rFonts w:hint="eastAsia" w:eastAsiaTheme="minorEastAsia"/>
          <w:color w:val="auto"/>
          <w:sz w:val="24"/>
          <w:highlight w:val="none"/>
          <w:u w:val="single"/>
        </w:rPr>
        <w:t>招标</w:t>
      </w:r>
      <w:r>
        <w:rPr>
          <w:rFonts w:eastAsiaTheme="minorEastAsia"/>
          <w:color w:val="auto"/>
          <w:sz w:val="24"/>
          <w:highlight w:val="none"/>
          <w:u w:val="single"/>
        </w:rPr>
        <w:t>代理</w:t>
      </w:r>
      <w:r>
        <w:rPr>
          <w:rFonts w:eastAsiaTheme="minorEastAsia"/>
          <w:color w:val="auto"/>
          <w:sz w:val="24"/>
          <w:highlight w:val="none"/>
        </w:rPr>
        <w:t>工作。</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二、服务范围：</w:t>
      </w:r>
      <w:r>
        <w:rPr>
          <w:rFonts w:hint="eastAsia" w:eastAsiaTheme="minorEastAsia"/>
          <w:color w:val="auto"/>
          <w:sz w:val="24"/>
          <w:highlight w:val="none"/>
          <w:u w:val="single"/>
        </w:rPr>
        <w:t xml:space="preserve">          </w:t>
      </w:r>
      <w:r>
        <w:rPr>
          <w:rFonts w:eastAsiaTheme="minorEastAsia"/>
          <w:color w:val="auto"/>
          <w:sz w:val="24"/>
          <w:highlight w:val="none"/>
        </w:rPr>
        <w:t>的</w:t>
      </w:r>
      <w:r>
        <w:rPr>
          <w:rFonts w:eastAsiaTheme="minorEastAsia"/>
          <w:color w:val="auto"/>
          <w:sz w:val="24"/>
          <w:highlight w:val="none"/>
          <w:u w:val="single"/>
        </w:rPr>
        <w:t>招标代理</w:t>
      </w:r>
      <w:r>
        <w:rPr>
          <w:rFonts w:hint="eastAsia" w:eastAsiaTheme="minorEastAsia"/>
          <w:color w:val="auto"/>
          <w:sz w:val="24"/>
          <w:highlight w:val="none"/>
          <w:u w:val="single"/>
        </w:rPr>
        <w:t>工作</w:t>
      </w:r>
      <w:r>
        <w:rPr>
          <w:rFonts w:eastAsiaTheme="minorEastAsia"/>
          <w:color w:val="auto"/>
          <w:sz w:val="24"/>
          <w:highlight w:val="none"/>
        </w:rPr>
        <w:t>。</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标段划分：标段划分以实际招标情况为准。</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三、合同价款</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u w:val="single"/>
        </w:rPr>
        <w:t>2、招标控制价编制服务费（如有）：招标控制价编制服务费=某招标项目的实际中标金额×招标代理服务费收费标准×（1-招标控制价编制服务费比选下浮费率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rPr>
        <w:t>3、</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w:t>
      </w:r>
      <w:r>
        <w:rPr>
          <w:rFonts w:hint="eastAsia"/>
          <w:color w:val="auto"/>
          <w:sz w:val="24"/>
          <w:highlight w:val="none"/>
          <w:u w:val="single"/>
          <w:lang w:val="en-US" w:eastAsia="zh-CN"/>
        </w:rPr>
        <w:t>6%</w:t>
      </w:r>
      <w:r>
        <w:rPr>
          <w:rFonts w:hint="eastAsia"/>
          <w:color w:val="auto"/>
          <w:sz w:val="24"/>
          <w:highlight w:val="none"/>
          <w:u w:val="single"/>
        </w:rPr>
        <w:t>，税额为¥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四、组成本合同的文件：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1、本合同履行过程中双方以书面形式签署的补充和修正文件；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2、本合同协议书：</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3、本合同专用条款；</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4、本合同通用条款。</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五、本协议书中的有关词语定义与本合同第一部分《通用条款》中分别赋予它们的定义相同。</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六、受托人向委托人承诺，按照本合同的约定，承担本合同专用条款中约定范围内的代理业务。</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七、委托人向受托人承诺，按照本合同的约定，确保代理报酬的支付。</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八、合同订立</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合同订立时间：</w:t>
      </w:r>
      <w:r>
        <w:rPr>
          <w:rFonts w:hint="eastAsia" w:eastAsiaTheme="minorEastAsia"/>
          <w:color w:val="auto"/>
          <w:sz w:val="24"/>
          <w:highlight w:val="none"/>
        </w:rPr>
        <w:t xml:space="preserve">   </w:t>
      </w:r>
      <w:r>
        <w:rPr>
          <w:rFonts w:eastAsiaTheme="minorEastAsia"/>
          <w:color w:val="auto"/>
          <w:sz w:val="24"/>
          <w:highlight w:val="none"/>
        </w:rPr>
        <w:t>年</w:t>
      </w:r>
      <w:r>
        <w:rPr>
          <w:rFonts w:hint="eastAsia" w:eastAsiaTheme="minorEastAsia"/>
          <w:color w:val="auto"/>
          <w:sz w:val="24"/>
          <w:highlight w:val="none"/>
        </w:rPr>
        <w:t xml:space="preserve">   </w:t>
      </w:r>
      <w:r>
        <w:rPr>
          <w:rFonts w:eastAsiaTheme="minorEastAsia"/>
          <w:color w:val="auto"/>
          <w:sz w:val="24"/>
          <w:highlight w:val="none"/>
        </w:rPr>
        <w:t>月</w:t>
      </w:r>
      <w:r>
        <w:rPr>
          <w:rFonts w:hint="eastAsia" w:eastAsiaTheme="minorEastAsia"/>
          <w:color w:val="auto"/>
          <w:sz w:val="24"/>
          <w:highlight w:val="none"/>
        </w:rPr>
        <w:t xml:space="preserve">   </w:t>
      </w:r>
      <w:r>
        <w:rPr>
          <w:rFonts w:eastAsiaTheme="minorEastAsia"/>
          <w:color w:val="auto"/>
          <w:sz w:val="24"/>
          <w:highlight w:val="none"/>
        </w:rPr>
        <w:t>日</w:t>
      </w:r>
    </w:p>
    <w:p>
      <w:pPr>
        <w:spacing w:line="360" w:lineRule="auto"/>
        <w:ind w:left="315" w:leftChars="150" w:firstLine="216" w:firstLineChars="90"/>
        <w:jc w:val="left"/>
        <w:rPr>
          <w:rFonts w:eastAsiaTheme="minorEastAsia"/>
          <w:color w:val="auto"/>
          <w:sz w:val="24"/>
          <w:highlight w:val="none"/>
        </w:rPr>
      </w:pPr>
      <w:r>
        <w:rPr>
          <w:rFonts w:eastAsiaTheme="minorEastAsia"/>
          <w:color w:val="auto"/>
          <w:sz w:val="24"/>
          <w:highlight w:val="none"/>
        </w:rPr>
        <w:t>合同订立地点：</w:t>
      </w:r>
      <w:r>
        <w:rPr>
          <w:rFonts w:hint="eastAsia" w:eastAsiaTheme="minorEastAsia"/>
          <w:color w:val="auto"/>
          <w:sz w:val="24"/>
          <w:highlight w:val="none"/>
          <w:u w:val="single"/>
        </w:rPr>
        <w:t>桂林</w:t>
      </w:r>
      <w:r>
        <w:rPr>
          <w:rFonts w:eastAsiaTheme="minorEastAsia"/>
          <w:color w:val="auto"/>
          <w:sz w:val="24"/>
          <w:highlight w:val="none"/>
          <w:u w:val="single"/>
        </w:rPr>
        <w:t>市</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九、合同生效</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本合同双方约定</w:t>
      </w:r>
      <w:r>
        <w:rPr>
          <w:rFonts w:eastAsiaTheme="minorEastAsia"/>
          <w:color w:val="auto"/>
          <w:sz w:val="24"/>
          <w:highlight w:val="none"/>
          <w:u w:val="single"/>
        </w:rPr>
        <w:t>合同签字盖章</w:t>
      </w:r>
      <w:r>
        <w:rPr>
          <w:rFonts w:eastAsiaTheme="minorEastAsia"/>
          <w:color w:val="auto"/>
          <w:sz w:val="24"/>
          <w:highlight w:val="none"/>
        </w:rPr>
        <w:t>后生效</w:t>
      </w:r>
    </w:p>
    <w:p>
      <w:pPr>
        <w:spacing w:line="360" w:lineRule="auto"/>
        <w:rPr>
          <w:rFonts w:eastAsiaTheme="minorEastAsia"/>
          <w:color w:val="auto"/>
          <w:sz w:val="24"/>
          <w:highlight w:val="none"/>
        </w:rPr>
      </w:pPr>
      <w:r>
        <w:rPr>
          <w:rFonts w:eastAsiaTheme="minorEastAsia"/>
          <w:color w:val="auto"/>
          <w:sz w:val="24"/>
          <w:highlight w:val="none"/>
        </w:rPr>
        <w:br w:type="page"/>
      </w:r>
      <w:r>
        <w:rPr>
          <w:rFonts w:eastAsiaTheme="minorEastAsia"/>
          <w:color w:val="auto"/>
          <w:sz w:val="24"/>
          <w:highlight w:val="none"/>
        </w:rPr>
        <w:t>（此页无正文）</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委托人(盖章)：</w:t>
      </w:r>
      <w:r>
        <w:rPr>
          <w:rFonts w:hint="eastAsia" w:eastAsiaTheme="minorEastAsia"/>
          <w:color w:val="auto"/>
          <w:sz w:val="24"/>
          <w:highlight w:val="none"/>
        </w:rPr>
        <w:t xml:space="preserve">                        </w:t>
      </w:r>
      <w:r>
        <w:rPr>
          <w:rFonts w:eastAsiaTheme="minorEastAsia"/>
          <w:color w:val="auto"/>
          <w:sz w:val="24"/>
          <w:highlight w:val="none"/>
        </w:rPr>
        <w:t>受托人(盖章)：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法定代表人(签字或盖章)：</w:t>
      </w:r>
      <w:r>
        <w:rPr>
          <w:rFonts w:hint="eastAsia" w:eastAsiaTheme="minorEastAsia"/>
          <w:color w:val="auto"/>
          <w:sz w:val="24"/>
          <w:highlight w:val="none"/>
        </w:rPr>
        <w:t xml:space="preserve">              </w:t>
      </w:r>
      <w:r>
        <w:rPr>
          <w:rFonts w:eastAsiaTheme="minorEastAsia"/>
          <w:color w:val="auto"/>
          <w:sz w:val="24"/>
          <w:highlight w:val="none"/>
        </w:rPr>
        <w:t>法定代表人(签字或盖章)：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授权代理人(签字或盖章)：</w:t>
      </w:r>
      <w:r>
        <w:rPr>
          <w:rFonts w:hint="eastAsia" w:eastAsiaTheme="minorEastAsia"/>
          <w:color w:val="auto"/>
          <w:sz w:val="24"/>
          <w:highlight w:val="none"/>
        </w:rPr>
        <w:t xml:space="preserve">              </w:t>
      </w:r>
      <w:r>
        <w:rPr>
          <w:rFonts w:eastAsiaTheme="minorEastAsia"/>
          <w:color w:val="auto"/>
          <w:sz w:val="24"/>
          <w:highlight w:val="none"/>
        </w:rPr>
        <w:t>代理人(签字或盖章)：</w:t>
      </w:r>
    </w:p>
    <w:p>
      <w:pPr>
        <w:spacing w:line="360" w:lineRule="auto"/>
        <w:ind w:left="1200" w:hanging="1200" w:hangingChars="500"/>
        <w:jc w:val="left"/>
        <w:rPr>
          <w:rFonts w:eastAsiaTheme="minorEastAsia"/>
          <w:color w:val="auto"/>
          <w:sz w:val="24"/>
          <w:highlight w:val="none"/>
        </w:rPr>
      </w:pPr>
    </w:p>
    <w:p>
      <w:pPr>
        <w:spacing w:line="360" w:lineRule="auto"/>
        <w:ind w:left="1200" w:hanging="1200" w:hangingChars="500"/>
        <w:jc w:val="left"/>
        <w:rPr>
          <w:rFonts w:eastAsiaTheme="minorEastAsia"/>
          <w:color w:val="auto"/>
          <w:sz w:val="24"/>
          <w:highlight w:val="none"/>
        </w:rPr>
      </w:pPr>
      <w:r>
        <w:rPr>
          <w:rFonts w:eastAsiaTheme="minorEastAsia"/>
          <w:color w:val="auto"/>
          <w:sz w:val="24"/>
          <w:highlight w:val="none"/>
        </w:rPr>
        <w:t>单位地址：</w:t>
      </w:r>
      <w:r>
        <w:rPr>
          <w:rFonts w:hint="eastAsia" w:eastAsiaTheme="minorEastAsia"/>
          <w:color w:val="auto"/>
          <w:sz w:val="24"/>
          <w:highlight w:val="none"/>
        </w:rPr>
        <w:t xml:space="preserve">                            </w:t>
      </w:r>
      <w:r>
        <w:rPr>
          <w:rFonts w:eastAsiaTheme="minorEastAsia"/>
          <w:color w:val="auto"/>
          <w:sz w:val="24"/>
          <w:highlight w:val="none"/>
        </w:rPr>
        <w:t xml:space="preserve">地址: </w:t>
      </w:r>
    </w:p>
    <w:p>
      <w:pPr>
        <w:spacing w:line="360" w:lineRule="auto"/>
        <w:jc w:val="left"/>
        <w:rPr>
          <w:rFonts w:eastAsiaTheme="minorEastAsia"/>
          <w:color w:val="auto"/>
          <w:sz w:val="24"/>
          <w:highlight w:val="none"/>
        </w:rPr>
      </w:pPr>
      <w:r>
        <w:rPr>
          <w:rFonts w:eastAsiaTheme="minorEastAsia"/>
          <w:color w:val="auto"/>
          <w:sz w:val="24"/>
          <w:highlight w:val="none"/>
        </w:rPr>
        <w:t xml:space="preserve">邮政编码：               </w:t>
      </w:r>
      <w:r>
        <w:rPr>
          <w:rFonts w:hint="eastAsia" w:eastAsiaTheme="minorEastAsia"/>
          <w:color w:val="auto"/>
          <w:sz w:val="24"/>
          <w:highlight w:val="none"/>
        </w:rPr>
        <w:t xml:space="preserve">             </w:t>
      </w:r>
      <w:r>
        <w:rPr>
          <w:rFonts w:eastAsiaTheme="minorEastAsia"/>
          <w:color w:val="auto"/>
          <w:sz w:val="24"/>
          <w:highlight w:val="none"/>
        </w:rPr>
        <w:t>邮政编码：</w:t>
      </w:r>
    </w:p>
    <w:p>
      <w:pPr>
        <w:spacing w:line="360" w:lineRule="auto"/>
        <w:rPr>
          <w:rFonts w:eastAsiaTheme="minorEastAsia"/>
          <w:color w:val="auto"/>
          <w:sz w:val="24"/>
          <w:highlight w:val="none"/>
        </w:rPr>
      </w:pPr>
      <w:r>
        <w:rPr>
          <w:rFonts w:eastAsiaTheme="minorEastAsia"/>
          <w:color w:val="auto"/>
          <w:sz w:val="24"/>
          <w:highlight w:val="none"/>
        </w:rPr>
        <w:t>联系电话：</w:t>
      </w:r>
      <w:r>
        <w:rPr>
          <w:rFonts w:hint="eastAsia" w:eastAsiaTheme="minorEastAsia"/>
          <w:color w:val="auto"/>
          <w:sz w:val="24"/>
          <w:highlight w:val="none"/>
        </w:rPr>
        <w:t xml:space="preserve">                            </w:t>
      </w:r>
      <w:r>
        <w:rPr>
          <w:rFonts w:eastAsiaTheme="minorEastAsia"/>
          <w:color w:val="auto"/>
          <w:sz w:val="24"/>
          <w:highlight w:val="none"/>
        </w:rPr>
        <w:t>联系电话：</w:t>
      </w:r>
    </w:p>
    <w:p>
      <w:pPr>
        <w:spacing w:line="360" w:lineRule="auto"/>
        <w:rPr>
          <w:rFonts w:eastAsiaTheme="minorEastAsia"/>
          <w:color w:val="auto"/>
          <w:sz w:val="24"/>
          <w:highlight w:val="none"/>
        </w:rPr>
      </w:pPr>
      <w:r>
        <w:rPr>
          <w:rFonts w:eastAsiaTheme="minorEastAsia"/>
          <w:color w:val="auto"/>
          <w:sz w:val="24"/>
          <w:highlight w:val="none"/>
        </w:rPr>
        <w:t>传真：</w:t>
      </w:r>
      <w:r>
        <w:rPr>
          <w:rFonts w:hint="eastAsia" w:eastAsiaTheme="minorEastAsia"/>
          <w:color w:val="auto"/>
          <w:sz w:val="24"/>
          <w:highlight w:val="none"/>
        </w:rPr>
        <w:t xml:space="preserve">                                </w:t>
      </w:r>
      <w:r>
        <w:rPr>
          <w:rFonts w:eastAsiaTheme="minorEastAsia"/>
          <w:color w:val="auto"/>
          <w:sz w:val="24"/>
          <w:highlight w:val="none"/>
        </w:rPr>
        <w:t>传真：</w:t>
      </w:r>
    </w:p>
    <w:p>
      <w:pPr>
        <w:spacing w:line="360" w:lineRule="auto"/>
        <w:rPr>
          <w:rFonts w:eastAsiaTheme="minorEastAsia"/>
          <w:color w:val="auto"/>
          <w:sz w:val="24"/>
          <w:highlight w:val="none"/>
        </w:rPr>
      </w:pPr>
      <w:r>
        <w:rPr>
          <w:rFonts w:eastAsiaTheme="minorEastAsia"/>
          <w:color w:val="auto"/>
          <w:sz w:val="24"/>
          <w:highlight w:val="none"/>
        </w:rPr>
        <w:t>电子信箱：</w:t>
      </w:r>
      <w:r>
        <w:rPr>
          <w:rFonts w:hint="eastAsia" w:eastAsiaTheme="minorEastAsia"/>
          <w:color w:val="auto"/>
          <w:sz w:val="24"/>
          <w:highlight w:val="none"/>
        </w:rPr>
        <w:t xml:space="preserve">                            </w:t>
      </w:r>
      <w:r>
        <w:rPr>
          <w:rFonts w:eastAsiaTheme="minorEastAsia"/>
          <w:color w:val="auto"/>
          <w:sz w:val="24"/>
          <w:highlight w:val="none"/>
        </w:rPr>
        <w:t>电子信箱：</w:t>
      </w:r>
    </w:p>
    <w:p>
      <w:pPr>
        <w:spacing w:line="360" w:lineRule="auto"/>
        <w:rPr>
          <w:rFonts w:eastAsiaTheme="minorEastAsia"/>
          <w:color w:val="auto"/>
          <w:sz w:val="24"/>
          <w:highlight w:val="none"/>
        </w:rPr>
      </w:pPr>
      <w:r>
        <w:rPr>
          <w:rFonts w:eastAsiaTheme="minorEastAsia"/>
          <w:color w:val="auto"/>
          <w:sz w:val="24"/>
          <w:highlight w:val="none"/>
        </w:rPr>
        <w:t>开户银行：</w:t>
      </w:r>
      <w:r>
        <w:rPr>
          <w:rFonts w:hint="eastAsia" w:eastAsiaTheme="minorEastAsia"/>
          <w:color w:val="auto"/>
          <w:sz w:val="24"/>
          <w:highlight w:val="none"/>
        </w:rPr>
        <w:t xml:space="preserve">                            </w:t>
      </w:r>
      <w:r>
        <w:rPr>
          <w:rFonts w:eastAsiaTheme="minorEastAsia"/>
          <w:color w:val="auto"/>
          <w:sz w:val="24"/>
          <w:highlight w:val="none"/>
        </w:rPr>
        <w:t>开户银行：</w:t>
      </w:r>
    </w:p>
    <w:p>
      <w:pPr>
        <w:spacing w:line="360" w:lineRule="auto"/>
        <w:rPr>
          <w:rFonts w:eastAsiaTheme="minorEastAsia"/>
          <w:color w:val="auto"/>
          <w:sz w:val="24"/>
          <w:highlight w:val="none"/>
        </w:rPr>
      </w:pPr>
      <w:r>
        <w:rPr>
          <w:rFonts w:eastAsiaTheme="minorEastAsia"/>
          <w:color w:val="auto"/>
          <w:sz w:val="24"/>
          <w:highlight w:val="none"/>
        </w:rPr>
        <w:t>帐号：</w:t>
      </w:r>
      <w:r>
        <w:rPr>
          <w:rFonts w:hint="eastAsia" w:eastAsiaTheme="minorEastAsia"/>
          <w:color w:val="auto"/>
          <w:sz w:val="24"/>
          <w:highlight w:val="none"/>
        </w:rPr>
        <w:t xml:space="preserve">                                </w:t>
      </w:r>
      <w:r>
        <w:rPr>
          <w:rFonts w:eastAsiaTheme="minorEastAsia"/>
          <w:color w:val="auto"/>
          <w:sz w:val="24"/>
          <w:highlight w:val="none"/>
        </w:rPr>
        <w:t>帐号：</w:t>
      </w:r>
    </w:p>
    <w:p>
      <w:pPr>
        <w:spacing w:line="360" w:lineRule="auto"/>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1" w:name="_Toc7339"/>
      <w:bookmarkStart w:id="242" w:name="_Toc16545"/>
      <w:r>
        <w:rPr>
          <w:rFonts w:ascii="Times New Roman" w:hAnsi="Times New Roman" w:eastAsiaTheme="minorEastAsia"/>
          <w:color w:val="auto"/>
          <w:sz w:val="24"/>
          <w:szCs w:val="24"/>
          <w:highlight w:val="none"/>
        </w:rPr>
        <w:t>第一部分通用条款</w:t>
      </w:r>
      <w:bookmarkEnd w:id="241"/>
      <w:bookmarkEnd w:id="242"/>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l、词语定义</w:t>
      </w:r>
    </w:p>
    <w:p>
      <w:pPr>
        <w:spacing w:line="360" w:lineRule="auto"/>
        <w:rPr>
          <w:rFonts w:eastAsiaTheme="minorEastAsia"/>
          <w:color w:val="auto"/>
          <w:sz w:val="24"/>
          <w:highlight w:val="none"/>
        </w:rPr>
      </w:pPr>
      <w:r>
        <w:rPr>
          <w:rFonts w:eastAsiaTheme="minorEastAsia"/>
          <w:color w:val="auto"/>
          <w:sz w:val="24"/>
          <w:highlight w:val="none"/>
        </w:rPr>
        <w:t>下列词语除本合同专用条款另有约定外，应具有本条款所赋予的定义</w:t>
      </w:r>
    </w:p>
    <w:p>
      <w:pPr>
        <w:spacing w:line="360" w:lineRule="auto"/>
        <w:rPr>
          <w:rFonts w:eastAsiaTheme="minorEastAsia"/>
          <w:color w:val="auto"/>
          <w:sz w:val="24"/>
          <w:highlight w:val="none"/>
        </w:rPr>
      </w:pPr>
      <w:r>
        <w:rPr>
          <w:rFonts w:eastAsiaTheme="minorEastAsia"/>
          <w:color w:val="auto"/>
          <w:sz w:val="24"/>
          <w:highlight w:val="none"/>
        </w:rPr>
        <w:t>1.1招标代理合同：委托人将工程建设项目招标工作委托给具有相应招标代理资质的受托人，实施招标活动签订的委托合同。</w:t>
      </w:r>
    </w:p>
    <w:p>
      <w:pPr>
        <w:spacing w:line="360" w:lineRule="auto"/>
        <w:rPr>
          <w:rFonts w:eastAsiaTheme="minorEastAsia"/>
          <w:color w:val="auto"/>
          <w:sz w:val="24"/>
          <w:highlight w:val="none"/>
        </w:rPr>
      </w:pPr>
      <w:r>
        <w:rPr>
          <w:rFonts w:eastAsiaTheme="minorEastAsia"/>
          <w:color w:val="auto"/>
          <w:sz w:val="24"/>
          <w:highlight w:val="none"/>
        </w:rPr>
        <w:t>1.2通用条款：是根据有关法律、行政法规和工程建设项目招标代理的需要所订立，通用于各类工程建设项目招标代理的条款。</w:t>
      </w:r>
    </w:p>
    <w:p>
      <w:pPr>
        <w:spacing w:line="360" w:lineRule="auto"/>
        <w:rPr>
          <w:rFonts w:eastAsiaTheme="minorEastAsia"/>
          <w:color w:val="auto"/>
          <w:sz w:val="24"/>
          <w:highlight w:val="none"/>
        </w:rPr>
      </w:pPr>
      <w:r>
        <w:rPr>
          <w:rFonts w:eastAsiaTheme="minorEastAsia"/>
          <w:color w:val="auto"/>
          <w:sz w:val="24"/>
          <w:highlight w:val="none"/>
        </w:rPr>
        <w:t>1.3专用条款：是委托人与受托人根据有关法律、行政法规规定，结合具体工程建设项目招标代理的实际，经协商达成一致意见的条款，是对通用条款的具体化、补充或修改。</w:t>
      </w:r>
    </w:p>
    <w:p>
      <w:pPr>
        <w:spacing w:line="360" w:lineRule="auto"/>
        <w:rPr>
          <w:rFonts w:eastAsiaTheme="minorEastAsia"/>
          <w:color w:val="auto"/>
          <w:sz w:val="24"/>
          <w:highlight w:val="none"/>
        </w:rPr>
      </w:pPr>
      <w:r>
        <w:rPr>
          <w:rFonts w:eastAsiaTheme="minorEastAsia"/>
          <w:color w:val="auto"/>
          <w:sz w:val="24"/>
          <w:highlight w:val="none"/>
        </w:rPr>
        <w:t>1.4委托人：指在合同中约定的，具有建设项目招标委托主体资格的当事人，以及取得该当事人资格的合法继承人。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1.5受托人：指在合同中约定的，被委托人接受的具有建设项目招标代理主体资格的当事人，以及取得该当事人资格的合法继承人。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1.6招标代理项目负责人：指受托人在专用条款中指定的负责合同履行的代表。</w:t>
      </w:r>
    </w:p>
    <w:p>
      <w:pPr>
        <w:spacing w:line="360" w:lineRule="auto"/>
        <w:rPr>
          <w:rFonts w:eastAsiaTheme="minorEastAsia"/>
          <w:color w:val="auto"/>
          <w:sz w:val="24"/>
          <w:highlight w:val="none"/>
        </w:rPr>
      </w:pPr>
      <w:r>
        <w:rPr>
          <w:rFonts w:eastAsiaTheme="minorEastAsia"/>
          <w:color w:val="auto"/>
          <w:sz w:val="24"/>
          <w:highlight w:val="none"/>
        </w:rPr>
        <w:t>1.7工程建设项目：指由委托人和受托人在合同中约定的委托代理招标的工程。</w:t>
      </w:r>
    </w:p>
    <w:p>
      <w:pPr>
        <w:spacing w:line="360" w:lineRule="auto"/>
        <w:rPr>
          <w:rFonts w:eastAsiaTheme="minorEastAsia"/>
          <w:color w:val="auto"/>
          <w:sz w:val="24"/>
          <w:highlight w:val="none"/>
        </w:rPr>
      </w:pPr>
      <w:r>
        <w:rPr>
          <w:rFonts w:eastAsiaTheme="minorEastAsia"/>
          <w:color w:val="auto"/>
          <w:sz w:val="24"/>
          <w:highlight w:val="none"/>
        </w:rPr>
        <w:t>1.8招标代理业务：委托人委托受托人代理实施工程建设项目招标的工作内容。</w:t>
      </w:r>
    </w:p>
    <w:p>
      <w:pPr>
        <w:spacing w:line="360" w:lineRule="auto"/>
        <w:rPr>
          <w:rFonts w:eastAsiaTheme="minorEastAsia"/>
          <w:color w:val="auto"/>
          <w:sz w:val="24"/>
          <w:highlight w:val="none"/>
        </w:rPr>
      </w:pPr>
      <w:r>
        <w:rPr>
          <w:rFonts w:eastAsiaTheme="minorEastAsia"/>
          <w:color w:val="auto"/>
          <w:sz w:val="24"/>
          <w:highlight w:val="none"/>
        </w:rPr>
        <w:t>1.9附加服务：指委托人和受托人在本合同通用条款4.1款和专用条款4.1款中双方约定工作范围之外的附加工作。</w:t>
      </w:r>
    </w:p>
    <w:p>
      <w:pPr>
        <w:spacing w:line="360" w:lineRule="auto"/>
        <w:rPr>
          <w:rFonts w:eastAsiaTheme="minorEastAsia"/>
          <w:color w:val="auto"/>
          <w:sz w:val="24"/>
          <w:highlight w:val="none"/>
        </w:rPr>
      </w:pPr>
      <w:r>
        <w:rPr>
          <w:rFonts w:eastAsiaTheme="minorEastAsia"/>
          <w:color w:val="auto"/>
          <w:sz w:val="24"/>
          <w:highlight w:val="none"/>
        </w:rPr>
        <w:t>1.10代理报酬：委托人和受托人在合同中约定的，受托人按照约定应收取的代理报酬总额。</w:t>
      </w:r>
    </w:p>
    <w:p>
      <w:pPr>
        <w:spacing w:line="360" w:lineRule="auto"/>
        <w:rPr>
          <w:rFonts w:eastAsiaTheme="minorEastAsia"/>
          <w:color w:val="auto"/>
          <w:sz w:val="24"/>
          <w:highlight w:val="none"/>
        </w:rPr>
      </w:pPr>
      <w:r>
        <w:rPr>
          <w:rFonts w:eastAsiaTheme="minorEastAsia"/>
          <w:color w:val="auto"/>
          <w:sz w:val="24"/>
          <w:highlight w:val="none"/>
        </w:rPr>
        <w:t>1.11图纸：指由委托人提供的满足招标需要的所有图纸、计算书、配套说明以及相关的技术资料。</w:t>
      </w:r>
    </w:p>
    <w:p>
      <w:pPr>
        <w:spacing w:line="360" w:lineRule="auto"/>
        <w:rPr>
          <w:rFonts w:eastAsiaTheme="minorEastAsia"/>
          <w:color w:val="auto"/>
          <w:sz w:val="24"/>
          <w:highlight w:val="none"/>
        </w:rPr>
      </w:pPr>
      <w:r>
        <w:rPr>
          <w:rFonts w:eastAsiaTheme="minorEastAsia"/>
          <w:color w:val="auto"/>
          <w:sz w:val="24"/>
          <w:highlight w:val="none"/>
        </w:rPr>
        <w:t>1.12书面形式：指具有公章、法定代表人或授权代理人签字的合同书、信件和数据电文(包括电报、电传、传真)等可以有形地表现所载内容的形式。</w:t>
      </w:r>
    </w:p>
    <w:p>
      <w:pPr>
        <w:spacing w:line="360" w:lineRule="auto"/>
        <w:rPr>
          <w:rFonts w:eastAsiaTheme="minorEastAsia"/>
          <w:color w:val="auto"/>
          <w:sz w:val="24"/>
          <w:highlight w:val="none"/>
        </w:rPr>
      </w:pPr>
      <w:r>
        <w:rPr>
          <w:rFonts w:eastAsiaTheme="minorEastAsia"/>
          <w:color w:val="auto"/>
          <w:sz w:val="24"/>
          <w:highlight w:val="none"/>
        </w:rPr>
        <w:t>1.13违约责任：指合同一方不履行合同义务或履行合同义务不符合约定所应承担的责任。</w:t>
      </w:r>
    </w:p>
    <w:p>
      <w:pPr>
        <w:spacing w:line="360" w:lineRule="auto"/>
        <w:rPr>
          <w:rFonts w:eastAsiaTheme="minorEastAsia"/>
          <w:color w:val="auto"/>
          <w:sz w:val="24"/>
          <w:highlight w:val="none"/>
        </w:rPr>
      </w:pPr>
      <w:r>
        <w:rPr>
          <w:rFonts w:eastAsiaTheme="minorEastAsia"/>
          <w:color w:val="auto"/>
          <w:sz w:val="24"/>
          <w:highlight w:val="none"/>
        </w:rPr>
        <w:t>1.14索赔：指在合同履行过程中，对于并非自己的过错，而是应由对方承担责任的情况造成的实际损失，向对方提出经济补偿或其他的要求。</w:t>
      </w:r>
    </w:p>
    <w:p>
      <w:pPr>
        <w:spacing w:line="360" w:lineRule="auto"/>
        <w:rPr>
          <w:rFonts w:eastAsiaTheme="minorEastAsia"/>
          <w:color w:val="auto"/>
          <w:sz w:val="24"/>
          <w:highlight w:val="none"/>
        </w:rPr>
      </w:pPr>
      <w:r>
        <w:rPr>
          <w:rFonts w:eastAsiaTheme="minorEastAsia"/>
          <w:color w:val="auto"/>
          <w:sz w:val="24"/>
          <w:highlight w:val="none"/>
        </w:rPr>
        <w:t>1.15不可抗力：指双方无法控制和不可预见的事件，但不包括双方的违约或疏忽。这些事件包括但不限于战争、严重火灾、洪水、台风、地震，或其他双方一致认为属于不可抗力的事件。</w:t>
      </w:r>
    </w:p>
    <w:p>
      <w:pPr>
        <w:spacing w:line="360" w:lineRule="auto"/>
        <w:rPr>
          <w:rFonts w:eastAsiaTheme="minorEastAsia"/>
          <w:color w:val="auto"/>
          <w:sz w:val="24"/>
          <w:highlight w:val="none"/>
        </w:rPr>
      </w:pPr>
      <w:r>
        <w:rPr>
          <w:rFonts w:eastAsiaTheme="minorEastAsia"/>
          <w:color w:val="auto"/>
          <w:sz w:val="24"/>
          <w:highlight w:val="none"/>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2.1合同文件应能互相解释，互为说明。除本合同专用条款另有约定外，组成本合同的文件及优先解释顺序如下：</w:t>
      </w:r>
    </w:p>
    <w:p>
      <w:pPr>
        <w:spacing w:line="360" w:lineRule="auto"/>
        <w:rPr>
          <w:rFonts w:eastAsiaTheme="minorEastAsia"/>
          <w:color w:val="auto"/>
          <w:sz w:val="24"/>
          <w:highlight w:val="none"/>
        </w:rPr>
      </w:pPr>
      <w:r>
        <w:rPr>
          <w:rFonts w:eastAsiaTheme="minorEastAsia"/>
          <w:color w:val="auto"/>
          <w:sz w:val="24"/>
          <w:highlight w:val="none"/>
        </w:rPr>
        <w:t>(1)本合同履行过程中双方以书面形式签署的补充和修正文件；</w:t>
      </w:r>
    </w:p>
    <w:p>
      <w:pPr>
        <w:spacing w:line="360" w:lineRule="auto"/>
        <w:rPr>
          <w:rFonts w:eastAsiaTheme="minorEastAsia"/>
          <w:color w:val="auto"/>
          <w:sz w:val="24"/>
          <w:highlight w:val="none"/>
        </w:rPr>
      </w:pPr>
      <w:r>
        <w:rPr>
          <w:rFonts w:eastAsiaTheme="minorEastAsia"/>
          <w:color w:val="auto"/>
          <w:sz w:val="24"/>
          <w:highlight w:val="none"/>
        </w:rPr>
        <w:t>(2)本合同协议书：</w:t>
      </w:r>
    </w:p>
    <w:p>
      <w:pPr>
        <w:spacing w:line="360" w:lineRule="auto"/>
        <w:rPr>
          <w:rFonts w:eastAsiaTheme="minorEastAsia"/>
          <w:color w:val="auto"/>
          <w:sz w:val="24"/>
          <w:highlight w:val="none"/>
        </w:rPr>
      </w:pPr>
      <w:r>
        <w:rPr>
          <w:rFonts w:eastAsiaTheme="minorEastAsia"/>
          <w:color w:val="auto"/>
          <w:sz w:val="24"/>
          <w:highlight w:val="none"/>
        </w:rPr>
        <w:t>(3)本合同专用条款；</w:t>
      </w:r>
    </w:p>
    <w:p>
      <w:pPr>
        <w:spacing w:line="360" w:lineRule="auto"/>
        <w:rPr>
          <w:rFonts w:eastAsiaTheme="minorEastAsia"/>
          <w:color w:val="auto"/>
          <w:sz w:val="24"/>
          <w:highlight w:val="none"/>
        </w:rPr>
      </w:pPr>
      <w:r>
        <w:rPr>
          <w:rFonts w:eastAsiaTheme="minorEastAsia"/>
          <w:color w:val="auto"/>
          <w:sz w:val="24"/>
          <w:highlight w:val="none"/>
        </w:rPr>
        <w:t>(4)本合同通用条款。</w:t>
      </w:r>
    </w:p>
    <w:p>
      <w:pPr>
        <w:spacing w:line="360" w:lineRule="auto"/>
        <w:rPr>
          <w:rFonts w:eastAsiaTheme="minorEastAsia"/>
          <w:color w:val="auto"/>
          <w:sz w:val="24"/>
          <w:highlight w:val="none"/>
        </w:rPr>
      </w:pPr>
      <w:r>
        <w:rPr>
          <w:rFonts w:eastAsiaTheme="minorEastAsia"/>
          <w:color w:val="auto"/>
          <w:sz w:val="24"/>
          <w:highlight w:val="none"/>
        </w:rPr>
        <w:t>2.2当合同文件内容出现含糊不清或不相一致时，应在不影响招标代理业务正常进行的情况下，由委托人和受托人协商解决。双方协商不成时，按本合同专用条款第12条关于争议的约定处理。</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pPr>
        <w:spacing w:line="360" w:lineRule="auto"/>
        <w:rPr>
          <w:rFonts w:eastAsiaTheme="minorEastAsia"/>
          <w:color w:val="auto"/>
          <w:sz w:val="24"/>
          <w:highlight w:val="none"/>
        </w:rPr>
      </w:pPr>
      <w:r>
        <w:rPr>
          <w:rFonts w:eastAsiaTheme="minorEastAsia"/>
          <w:color w:val="auto"/>
          <w:sz w:val="24"/>
          <w:highlight w:val="none"/>
        </w:rPr>
        <w:t>3.2适用法律和行政法规</w:t>
      </w:r>
    </w:p>
    <w:p>
      <w:pPr>
        <w:spacing w:line="360" w:lineRule="auto"/>
        <w:rPr>
          <w:rFonts w:eastAsiaTheme="minorEastAsia"/>
          <w:color w:val="auto"/>
          <w:sz w:val="24"/>
          <w:highlight w:val="none"/>
        </w:rPr>
      </w:pPr>
      <w:r>
        <w:rPr>
          <w:rFonts w:eastAsiaTheme="minorEastAsia"/>
          <w:color w:val="auto"/>
          <w:sz w:val="24"/>
          <w:highlight w:val="none"/>
        </w:rPr>
        <w:t>本合同文件适用有关法律和行政法规。需要明示的法律和行政法规，双方可在本合同专用条款中约定。</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spacing w:line="360" w:lineRule="auto"/>
        <w:rPr>
          <w:rFonts w:eastAsiaTheme="minorEastAsia"/>
          <w:color w:val="auto"/>
          <w:sz w:val="24"/>
          <w:highlight w:val="none"/>
        </w:rPr>
      </w:pPr>
      <w:r>
        <w:rPr>
          <w:rFonts w:eastAsiaTheme="minorEastAsia"/>
          <w:color w:val="auto"/>
          <w:sz w:val="24"/>
          <w:highlight w:val="none"/>
        </w:rPr>
        <w:t>4.1委托人将委托招标代理工作的具体范围和内容在本合同专用条款中约定。</w:t>
      </w:r>
    </w:p>
    <w:p>
      <w:pPr>
        <w:spacing w:line="360" w:lineRule="auto"/>
        <w:rPr>
          <w:rFonts w:eastAsiaTheme="minorEastAsia"/>
          <w:color w:val="auto"/>
          <w:sz w:val="24"/>
          <w:highlight w:val="none"/>
        </w:rPr>
      </w:pPr>
      <w:r>
        <w:rPr>
          <w:rFonts w:eastAsiaTheme="minorEastAsia"/>
          <w:color w:val="auto"/>
          <w:sz w:val="24"/>
          <w:highlight w:val="none"/>
        </w:rPr>
        <w:t>4.2委托人按本合同专用条款约定的内容和时间完成下列工作：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 向受托人提供本工程招标代理业务应具备的相关工程前期资料；</w:t>
      </w:r>
    </w:p>
    <w:p>
      <w:pPr>
        <w:spacing w:line="360" w:lineRule="auto"/>
        <w:rPr>
          <w:rFonts w:eastAsiaTheme="minorEastAsia"/>
          <w:color w:val="auto"/>
          <w:sz w:val="24"/>
          <w:highlight w:val="none"/>
        </w:rPr>
      </w:pPr>
      <w:r>
        <w:rPr>
          <w:rFonts w:eastAsiaTheme="minorEastAsia"/>
          <w:color w:val="auto"/>
          <w:sz w:val="24"/>
          <w:highlight w:val="none"/>
        </w:rPr>
        <w:t>(2)向受托人提供完成本工程：招标代理业务所需的全部技术资料和图纸，需要交底的须向受托人详细交底，并对提供资料的真实性、完整性、准确性负责；</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(3)向受托人提供保证招标工作顺利完成的条件，提供的条件在本合同专用条款内约定；</w:t>
      </w:r>
    </w:p>
    <w:p>
      <w:pPr>
        <w:spacing w:line="360" w:lineRule="auto"/>
        <w:rPr>
          <w:rFonts w:eastAsiaTheme="minorEastAsia"/>
          <w:color w:val="auto"/>
          <w:sz w:val="24"/>
          <w:highlight w:val="none"/>
        </w:rPr>
      </w:pPr>
      <w:r>
        <w:rPr>
          <w:rFonts w:eastAsiaTheme="minorEastAsia"/>
          <w:color w:val="auto"/>
          <w:sz w:val="24"/>
          <w:highlight w:val="none"/>
        </w:rPr>
        <w:t>(4)指定专人与受托人联系，指定人员的姓名、职务、职称在本合同专用条款内约定；</w:t>
      </w:r>
    </w:p>
    <w:p>
      <w:pPr>
        <w:spacing w:line="360" w:lineRule="auto"/>
        <w:rPr>
          <w:rFonts w:eastAsiaTheme="minorEastAsia"/>
          <w:color w:val="auto"/>
          <w:sz w:val="24"/>
          <w:highlight w:val="none"/>
        </w:rPr>
      </w:pPr>
      <w:r>
        <w:rPr>
          <w:rFonts w:eastAsiaTheme="minorEastAsia"/>
          <w:color w:val="auto"/>
          <w:sz w:val="24"/>
          <w:highlight w:val="none"/>
        </w:rPr>
        <w:t>(5)根据需要，作好与第三方的协调工作；</w:t>
      </w:r>
    </w:p>
    <w:p>
      <w:pPr>
        <w:spacing w:line="360" w:lineRule="auto"/>
        <w:rPr>
          <w:rFonts w:eastAsiaTheme="minorEastAsia"/>
          <w:color w:val="auto"/>
          <w:sz w:val="24"/>
          <w:highlight w:val="none"/>
        </w:rPr>
      </w:pPr>
      <w:r>
        <w:rPr>
          <w:rFonts w:eastAsiaTheme="minorEastAsia"/>
          <w:color w:val="auto"/>
          <w:sz w:val="24"/>
          <w:highlight w:val="none"/>
        </w:rPr>
        <w:t>(6)按本合同专用条款的约定支付代理报酬；</w:t>
      </w:r>
    </w:p>
    <w:p>
      <w:pPr>
        <w:spacing w:line="360" w:lineRule="auto"/>
        <w:rPr>
          <w:rFonts w:eastAsiaTheme="minorEastAsia"/>
          <w:color w:val="auto"/>
          <w:sz w:val="24"/>
          <w:highlight w:val="none"/>
        </w:rPr>
      </w:pPr>
      <w:r>
        <w:rPr>
          <w:rFonts w:eastAsiaTheme="minorEastAsia"/>
          <w:color w:val="auto"/>
          <w:sz w:val="24"/>
          <w:highlight w:val="none"/>
        </w:rPr>
        <w:t>(7)依法应尽的其他义务，双方在本合同专用条款内约定。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4.3委托人负有对受托人为本合同提供的技术服务进行知识产权保护的责任。</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spacing w:line="360" w:lineRule="auto"/>
        <w:rPr>
          <w:rFonts w:eastAsiaTheme="minorEastAsia"/>
          <w:color w:val="auto"/>
          <w:sz w:val="24"/>
          <w:highlight w:val="none"/>
        </w:rPr>
      </w:pPr>
      <w:r>
        <w:rPr>
          <w:rFonts w:eastAsiaTheme="minorEastAsia"/>
          <w:color w:val="auto"/>
          <w:sz w:val="24"/>
          <w:highlight w:val="none"/>
        </w:rPr>
        <w:t>5.2受托人按本合同专用条款约定的内容和时间完成下列工作：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(1)依法按照公开、公平、公正和诚实信用原则，组织招标工作，维护各方的合法权益；</w:t>
      </w:r>
    </w:p>
    <w:p>
      <w:pPr>
        <w:spacing w:line="360" w:lineRule="auto"/>
        <w:rPr>
          <w:rFonts w:eastAsiaTheme="minorEastAsia"/>
          <w:color w:val="auto"/>
          <w:sz w:val="24"/>
          <w:highlight w:val="none"/>
        </w:rPr>
      </w:pPr>
      <w:r>
        <w:rPr>
          <w:rFonts w:eastAsiaTheme="minorEastAsia"/>
          <w:color w:val="auto"/>
          <w:sz w:val="24"/>
          <w:highlight w:val="none"/>
        </w:rPr>
        <w:t>(2)应用专业技术与技能为委托人提供完成招标工作相关的咨询服务；</w:t>
      </w:r>
    </w:p>
    <w:p>
      <w:pPr>
        <w:spacing w:line="360" w:lineRule="auto"/>
        <w:rPr>
          <w:rFonts w:eastAsiaTheme="minorEastAsia"/>
          <w:color w:val="auto"/>
          <w:sz w:val="24"/>
          <w:highlight w:val="none"/>
        </w:rPr>
      </w:pPr>
      <w:r>
        <w:rPr>
          <w:rFonts w:eastAsiaTheme="minorEastAsia"/>
          <w:color w:val="auto"/>
          <w:sz w:val="24"/>
          <w:highlight w:val="none"/>
        </w:rPr>
        <w:t>(3)向委托人宣传有关工程招标的法律、行政法规和规章，解释合理的招标程序，以便得到委托人的支持和配合；</w:t>
      </w:r>
    </w:p>
    <w:p>
      <w:pPr>
        <w:spacing w:line="360" w:lineRule="auto"/>
        <w:rPr>
          <w:rFonts w:eastAsiaTheme="minorEastAsia"/>
          <w:color w:val="auto"/>
          <w:sz w:val="24"/>
          <w:highlight w:val="none"/>
        </w:rPr>
      </w:pPr>
      <w:r>
        <w:rPr>
          <w:rFonts w:eastAsiaTheme="minorEastAsia"/>
          <w:color w:val="auto"/>
          <w:sz w:val="24"/>
          <w:highlight w:val="none"/>
        </w:rPr>
        <w:t>(4)依法应尽的其他义务，双方在本合同专用条款内约定。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5.3受托人应对招标工作中受托人所出具有关数据的计算、技术经济资料等的科学性和准确性负责。</w:t>
      </w:r>
    </w:p>
    <w:p>
      <w:pPr>
        <w:spacing w:line="360" w:lineRule="auto"/>
        <w:rPr>
          <w:rFonts w:eastAsiaTheme="minorEastAsia"/>
          <w:color w:val="auto"/>
          <w:sz w:val="24"/>
          <w:highlight w:val="none"/>
        </w:rPr>
      </w:pPr>
      <w:r>
        <w:rPr>
          <w:rFonts w:eastAsiaTheme="minorEastAsia"/>
          <w:color w:val="auto"/>
          <w:sz w:val="24"/>
          <w:highlight w:val="none"/>
        </w:rPr>
        <w:t>5.4受托人不得接受与本合同工程建设项目中委托招标范围之内的相关的投标人的咨询业务。</w:t>
      </w:r>
    </w:p>
    <w:p>
      <w:pPr>
        <w:spacing w:line="360" w:lineRule="auto"/>
        <w:rPr>
          <w:rFonts w:eastAsiaTheme="minorEastAsia"/>
          <w:color w:val="auto"/>
          <w:sz w:val="24"/>
          <w:highlight w:val="none"/>
        </w:rPr>
      </w:pPr>
      <w:r>
        <w:rPr>
          <w:rFonts w:eastAsiaTheme="minorEastAsia"/>
          <w:color w:val="auto"/>
          <w:sz w:val="24"/>
          <w:highlight w:val="none"/>
        </w:rPr>
        <w:t>5.5受托人为本合同提供技术服务的知识产权应属委托人和受托人共有。任何第三方如果提出侵权指控，受托人须与第三方交涉并承担由此而引起的一切法律责任和费用。</w:t>
      </w:r>
    </w:p>
    <w:p>
      <w:pPr>
        <w:spacing w:line="360" w:lineRule="auto"/>
        <w:rPr>
          <w:rFonts w:eastAsiaTheme="minorEastAsia"/>
          <w:color w:val="auto"/>
          <w:sz w:val="24"/>
          <w:highlight w:val="none"/>
        </w:rPr>
      </w:pPr>
      <w:r>
        <w:rPr>
          <w:rFonts w:eastAsiaTheme="minorEastAsia"/>
          <w:color w:val="auto"/>
          <w:sz w:val="24"/>
          <w:highlight w:val="none"/>
        </w:rPr>
        <w:t>5.6未经委托人同意，受托人不得分包或转让本合同的任何权利和义务。</w:t>
      </w:r>
    </w:p>
    <w:p>
      <w:pPr>
        <w:spacing w:line="360" w:lineRule="auto"/>
        <w:rPr>
          <w:rFonts w:eastAsiaTheme="minorEastAsia"/>
          <w:color w:val="auto"/>
          <w:sz w:val="24"/>
          <w:highlight w:val="none"/>
        </w:rPr>
      </w:pPr>
      <w:r>
        <w:rPr>
          <w:rFonts w:eastAsiaTheme="minorEastAsia"/>
          <w:color w:val="auto"/>
          <w:sz w:val="24"/>
          <w:highlight w:val="none"/>
        </w:rPr>
        <w:t>5.7受托人不得接受所有投标人的礼品、宴请和任何其它好处，不得泄露招标、评标、定标过程中依法需要保密的内容。合同终止后，未经委托人同意，受托人不得泄漏与本合同工程相关的任何招标资料和情况。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5.8受托人未能履行以上各项义务，给委托人造成损失的，应当赔偿委托人的有关损失。</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(1)按合同约定，接收招标代理成果；</w:t>
      </w:r>
    </w:p>
    <w:p>
      <w:pPr>
        <w:spacing w:line="360" w:lineRule="auto"/>
        <w:rPr>
          <w:rFonts w:eastAsiaTheme="minorEastAsia"/>
          <w:color w:val="auto"/>
          <w:sz w:val="24"/>
          <w:highlight w:val="none"/>
        </w:rPr>
      </w:pPr>
      <w:r>
        <w:rPr>
          <w:rFonts w:eastAsiaTheme="minorEastAsia"/>
          <w:color w:val="auto"/>
          <w:sz w:val="24"/>
          <w:highlight w:val="none"/>
        </w:rPr>
        <w:t>(2) 向受托人询问本合同工程招标工作进展情况和相关内容或提出不违反法律、行政法规的建议；</w:t>
      </w:r>
    </w:p>
    <w:p>
      <w:pPr>
        <w:spacing w:line="360" w:lineRule="auto"/>
        <w:rPr>
          <w:rFonts w:eastAsiaTheme="minorEastAsia"/>
          <w:color w:val="auto"/>
          <w:sz w:val="24"/>
          <w:highlight w:val="none"/>
        </w:rPr>
      </w:pPr>
      <w:r>
        <w:rPr>
          <w:rFonts w:eastAsiaTheme="minorEastAsia"/>
          <w:color w:val="auto"/>
          <w:sz w:val="24"/>
          <w:highlight w:val="none"/>
        </w:rPr>
        <w:t>(3)审查受托人为本合同工程编制的各种文件，并提出修正意见；</w:t>
      </w:r>
    </w:p>
    <w:p>
      <w:pPr>
        <w:spacing w:line="360" w:lineRule="auto"/>
        <w:rPr>
          <w:rFonts w:eastAsiaTheme="minorEastAsia"/>
          <w:color w:val="auto"/>
          <w:sz w:val="24"/>
          <w:highlight w:val="none"/>
        </w:rPr>
      </w:pPr>
      <w:r>
        <w:rPr>
          <w:rFonts w:eastAsiaTheme="minorEastAsia"/>
          <w:color w:val="auto"/>
          <w:sz w:val="24"/>
          <w:highlight w:val="none"/>
        </w:rPr>
        <w:t>(4)要求受托人提交招标代理业务工作报告；</w:t>
      </w:r>
    </w:p>
    <w:p>
      <w:pPr>
        <w:spacing w:line="360" w:lineRule="auto"/>
        <w:rPr>
          <w:rFonts w:eastAsiaTheme="minorEastAsia"/>
          <w:color w:val="auto"/>
          <w:sz w:val="24"/>
          <w:highlight w:val="none"/>
        </w:rPr>
      </w:pPr>
      <w:r>
        <w:rPr>
          <w:rFonts w:eastAsiaTheme="minorEastAsia"/>
          <w:color w:val="auto"/>
          <w:sz w:val="24"/>
          <w:highlight w:val="none"/>
        </w:rPr>
        <w:t>(5)与受托人协商，建议更换其不称职的招标代理从业人员；</w:t>
      </w:r>
    </w:p>
    <w:p>
      <w:pPr>
        <w:spacing w:line="360" w:lineRule="auto"/>
        <w:rPr>
          <w:rFonts w:eastAsiaTheme="minorEastAsia"/>
          <w:color w:val="auto"/>
          <w:sz w:val="24"/>
          <w:highlight w:val="none"/>
        </w:rPr>
      </w:pPr>
      <w:r>
        <w:rPr>
          <w:rFonts w:eastAsiaTheme="minorEastAsia"/>
          <w:color w:val="auto"/>
          <w:sz w:val="24"/>
          <w:highlight w:val="none"/>
        </w:rPr>
        <w:t>(6)依法选择中标人；</w:t>
      </w:r>
    </w:p>
    <w:p>
      <w:pPr>
        <w:spacing w:line="360" w:lineRule="auto"/>
        <w:rPr>
          <w:rFonts w:eastAsiaTheme="minorEastAsia"/>
          <w:color w:val="auto"/>
          <w:sz w:val="24"/>
          <w:highlight w:val="none"/>
        </w:rPr>
      </w:pPr>
      <w:r>
        <w:rPr>
          <w:rFonts w:eastAsiaTheme="minorEastAsia"/>
          <w:color w:val="auto"/>
          <w:sz w:val="24"/>
          <w:highlight w:val="none"/>
        </w:rPr>
        <w:t>(7)本合同履行期间，由于受托人不履行合同约定的内容，给委托人造成损失或影响招标工作正常进行的，委托人有权终止本合同，并依法向受托人追索经济赔偿，直至追究法律责任；</w:t>
      </w:r>
    </w:p>
    <w:p>
      <w:pPr>
        <w:spacing w:line="360" w:lineRule="auto"/>
        <w:rPr>
          <w:rFonts w:eastAsiaTheme="minorEastAsia"/>
          <w:color w:val="auto"/>
          <w:sz w:val="24"/>
          <w:highlight w:val="none"/>
        </w:rPr>
      </w:pPr>
      <w:r>
        <w:rPr>
          <w:rFonts w:eastAsiaTheme="minorEastAsia"/>
          <w:color w:val="auto"/>
          <w:sz w:val="24"/>
          <w:highlight w:val="none"/>
        </w:rPr>
        <w:t>(8)依法享有的其他权利，双方在本合同专用条款内约定。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7、受托人的权利</w:t>
      </w:r>
    </w:p>
    <w:p>
      <w:pPr>
        <w:spacing w:line="360" w:lineRule="auto"/>
        <w:rPr>
          <w:rFonts w:eastAsiaTheme="minorEastAsia"/>
          <w:color w:val="auto"/>
          <w:sz w:val="24"/>
          <w:highlight w:val="none"/>
        </w:rPr>
      </w:pPr>
      <w:r>
        <w:rPr>
          <w:rFonts w:eastAsiaTheme="minorEastAsia"/>
          <w:color w:val="auto"/>
          <w:sz w:val="24"/>
          <w:highlight w:val="none"/>
        </w:rPr>
        <w:t>7.1受托人拥有下列权利：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(1)按合同约定收取委托代理报酬；</w:t>
      </w:r>
    </w:p>
    <w:p>
      <w:pPr>
        <w:spacing w:line="360" w:lineRule="auto"/>
        <w:rPr>
          <w:rFonts w:eastAsiaTheme="minorEastAsia"/>
          <w:color w:val="auto"/>
          <w:sz w:val="24"/>
          <w:highlight w:val="none"/>
        </w:rPr>
      </w:pPr>
      <w:r>
        <w:rPr>
          <w:rFonts w:eastAsiaTheme="minorEastAsia"/>
          <w:color w:val="auto"/>
          <w:sz w:val="24"/>
          <w:highlight w:val="none"/>
        </w:rPr>
        <w:t>(2)对招标过程中应由委托人做出的决定，受托人有权提出建议</w:t>
      </w:r>
    </w:p>
    <w:p>
      <w:pPr>
        <w:spacing w:line="360" w:lineRule="auto"/>
        <w:rPr>
          <w:rFonts w:eastAsiaTheme="minorEastAsia"/>
          <w:color w:val="auto"/>
          <w:sz w:val="24"/>
          <w:highlight w:val="none"/>
        </w:rPr>
      </w:pPr>
      <w:r>
        <w:rPr>
          <w:rFonts w:eastAsiaTheme="minorEastAsia"/>
          <w:color w:val="auto"/>
          <w:sz w:val="24"/>
          <w:highlight w:val="none"/>
        </w:rPr>
        <w:t>(3)当委托人提供的资料不足或不明确时，有权要求委托人补足材料或作出明确的答复；</w:t>
      </w:r>
    </w:p>
    <w:p>
      <w:pPr>
        <w:spacing w:line="360" w:lineRule="auto"/>
        <w:rPr>
          <w:rFonts w:eastAsiaTheme="minorEastAsia"/>
          <w:color w:val="auto"/>
          <w:sz w:val="24"/>
          <w:highlight w:val="none"/>
        </w:rPr>
      </w:pPr>
      <w:r>
        <w:rPr>
          <w:rFonts w:eastAsiaTheme="minorEastAsia"/>
          <w:color w:val="auto"/>
          <w:sz w:val="24"/>
          <w:highlight w:val="none"/>
        </w:rPr>
        <w:t>(4)拒绝委托人提出的违反法律、行政法规的要求，并向委托人作出解释；</w:t>
      </w:r>
    </w:p>
    <w:p>
      <w:pPr>
        <w:spacing w:line="360" w:lineRule="auto"/>
        <w:rPr>
          <w:rFonts w:eastAsiaTheme="minorEastAsia"/>
          <w:color w:val="auto"/>
          <w:sz w:val="24"/>
          <w:highlight w:val="none"/>
        </w:rPr>
      </w:pPr>
      <w:r>
        <w:rPr>
          <w:rFonts w:eastAsiaTheme="minorEastAsia"/>
          <w:color w:val="auto"/>
          <w:sz w:val="24"/>
          <w:highlight w:val="none"/>
        </w:rPr>
        <w:t>(5)有权参加委托人组织的涉及招标工作的会议和活动；</w:t>
      </w:r>
    </w:p>
    <w:p>
      <w:pPr>
        <w:spacing w:line="360" w:lineRule="auto"/>
        <w:rPr>
          <w:rFonts w:eastAsiaTheme="minorEastAsia"/>
          <w:color w:val="auto"/>
          <w:sz w:val="24"/>
          <w:highlight w:val="none"/>
        </w:rPr>
      </w:pPr>
      <w:r>
        <w:rPr>
          <w:rFonts w:eastAsiaTheme="minorEastAsia"/>
          <w:color w:val="auto"/>
          <w:sz w:val="24"/>
          <w:highlight w:val="none"/>
        </w:rPr>
        <w:t>(6)依法享有的其他权利，双方在本合同专用条款内约定。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8.1双方按照本合同约定的招标代理业务范围，在本合同专用条款内约定委托代理报酬的计算方法、金额、币种、汇率和支付方式、时间。</w:t>
      </w:r>
    </w:p>
    <w:p>
      <w:pPr>
        <w:spacing w:line="360" w:lineRule="auto"/>
        <w:rPr>
          <w:rFonts w:eastAsiaTheme="minorEastAsia"/>
          <w:color w:val="auto"/>
          <w:sz w:val="24"/>
          <w:highlight w:val="none"/>
        </w:rPr>
      </w:pPr>
      <w:r>
        <w:rPr>
          <w:rFonts w:eastAsiaTheme="minorEastAsia"/>
          <w:color w:val="auto"/>
          <w:sz w:val="24"/>
          <w:highlight w:val="none"/>
        </w:rPr>
        <w:t>8.2受托人对所承接的招标代理业务需要出外考察的，其外出人员数量和费用，由受托人自己承担。</w:t>
      </w:r>
    </w:p>
    <w:p>
      <w:pPr>
        <w:spacing w:line="360" w:lineRule="auto"/>
        <w:rPr>
          <w:rFonts w:eastAsiaTheme="minorEastAsia"/>
          <w:color w:val="auto"/>
          <w:sz w:val="24"/>
          <w:highlight w:val="none"/>
        </w:rPr>
      </w:pPr>
      <w:r>
        <w:rPr>
          <w:rFonts w:eastAsiaTheme="minorEastAsia"/>
          <w:color w:val="auto"/>
          <w:sz w:val="24"/>
          <w:highlight w:val="none"/>
        </w:rPr>
        <w:t>8.3在招标代理业务范围内所发生的费用 (如：评标会务费、评标专家的差旅费、劳务费、公证费等)，由委托人与受托人在专用条款中约定。</w:t>
      </w:r>
    </w:p>
    <w:p>
      <w:pPr>
        <w:spacing w:line="360" w:lineRule="auto"/>
        <w:rPr>
          <w:rFonts w:eastAsiaTheme="minorEastAsia"/>
          <w:color w:val="auto"/>
          <w:sz w:val="24"/>
          <w:highlight w:val="none"/>
        </w:rPr>
      </w:pPr>
      <w:r>
        <w:rPr>
          <w:rFonts w:eastAsiaTheme="minorEastAsia"/>
          <w:color w:val="auto"/>
          <w:sz w:val="24"/>
          <w:highlight w:val="none"/>
        </w:rPr>
        <w:t>9、委托代理报酬的收取</w:t>
      </w:r>
    </w:p>
    <w:p>
      <w:pPr>
        <w:spacing w:line="360" w:lineRule="auto"/>
        <w:rPr>
          <w:rFonts w:eastAsiaTheme="minorEastAsia"/>
          <w:color w:val="auto"/>
          <w:sz w:val="24"/>
          <w:highlight w:val="none"/>
        </w:rPr>
      </w:pPr>
      <w:r>
        <w:rPr>
          <w:rFonts w:eastAsiaTheme="minorEastAsia"/>
          <w:color w:val="auto"/>
          <w:sz w:val="24"/>
          <w:highlight w:val="none"/>
        </w:rPr>
        <w:t>9.2受托人完成委托人委托的招标代理工作范围以外的工作，为附加服务项目，应收取的报酬由双方协商，签订补充协议。</w:t>
      </w:r>
    </w:p>
    <w:p>
      <w:pPr>
        <w:spacing w:line="360" w:lineRule="auto"/>
        <w:rPr>
          <w:rFonts w:eastAsiaTheme="minorEastAsia"/>
          <w:color w:val="auto"/>
          <w:sz w:val="24"/>
          <w:highlight w:val="none"/>
        </w:rPr>
      </w:pPr>
      <w:r>
        <w:rPr>
          <w:rFonts w:eastAsiaTheme="minorEastAsia"/>
          <w:color w:val="auto"/>
          <w:sz w:val="24"/>
          <w:highlight w:val="none"/>
        </w:rPr>
        <w:t>9.3委托代理报酬应由委托人按本合同专用条款约定的支付方法和时间，直接向受托人支付；或受托人按照约定直接向中标人收取。</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10.1委托人违约。当发生下列情况时：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(1)本合同通用条款第4.2一(3)款提到的委托人未按本合同专用条款的约定向受托人提供为保证招标工作顺利完成的条件，致使招标工作无法进行；</w:t>
      </w:r>
    </w:p>
    <w:p>
      <w:pPr>
        <w:spacing w:line="360" w:lineRule="auto"/>
        <w:rPr>
          <w:rFonts w:eastAsiaTheme="minorEastAsia"/>
          <w:color w:val="auto"/>
          <w:sz w:val="24"/>
          <w:highlight w:val="none"/>
        </w:rPr>
      </w:pPr>
      <w:r>
        <w:rPr>
          <w:rFonts w:eastAsiaTheme="minorEastAsia"/>
          <w:color w:val="auto"/>
          <w:sz w:val="24"/>
          <w:highlight w:val="none"/>
        </w:rPr>
        <w:t>(2)本合同通用条款第4.2一(6)款提到的委托人未按本合同专用条款的约定向受托人支付委托代理报酬；</w:t>
      </w:r>
    </w:p>
    <w:p>
      <w:pPr>
        <w:spacing w:line="360" w:lineRule="auto"/>
        <w:rPr>
          <w:rFonts w:eastAsiaTheme="minorEastAsia"/>
          <w:color w:val="auto"/>
          <w:sz w:val="24"/>
          <w:highlight w:val="none"/>
        </w:rPr>
      </w:pPr>
      <w:r>
        <w:rPr>
          <w:rFonts w:eastAsiaTheme="minorEastAsia"/>
          <w:color w:val="auto"/>
          <w:sz w:val="24"/>
          <w:highlight w:val="none"/>
        </w:rPr>
        <w:t>(3)委托人不履行合同义务或不按合同约定履行义务的其他情况。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10.2受托人违约。当发生下列情况时：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(1)本合同通用条款第5.2一(2)款提到的受托人未按本合同专用条款的约定，向委托人提供为完成招标工作的咨询服务；</w:t>
      </w:r>
    </w:p>
    <w:p>
      <w:pPr>
        <w:spacing w:line="360" w:lineRule="auto"/>
        <w:rPr>
          <w:rFonts w:eastAsiaTheme="minorEastAsia"/>
          <w:color w:val="auto"/>
          <w:sz w:val="24"/>
          <w:highlight w:val="none"/>
        </w:rPr>
      </w:pPr>
      <w:r>
        <w:rPr>
          <w:rFonts w:eastAsiaTheme="minorEastAsia"/>
          <w:color w:val="auto"/>
          <w:sz w:val="24"/>
          <w:highlight w:val="none"/>
        </w:rPr>
        <w:t>(2)本合同通用条款第5.4款提到的受托人未按本合同专用条款的约定，接受了与本合同工程建设项目有关的投标咨询业务；</w:t>
      </w:r>
    </w:p>
    <w:p>
      <w:pPr>
        <w:spacing w:line="360" w:lineRule="auto"/>
        <w:rPr>
          <w:rFonts w:eastAsiaTheme="minorEastAsia"/>
          <w:color w:val="auto"/>
          <w:sz w:val="24"/>
          <w:highlight w:val="none"/>
        </w:rPr>
      </w:pPr>
      <w:r>
        <w:rPr>
          <w:rFonts w:eastAsiaTheme="minorEastAsia"/>
          <w:color w:val="auto"/>
          <w:sz w:val="24"/>
          <w:highlight w:val="none"/>
        </w:rPr>
        <w:t>(3)本合同通用条款第5.7款提到的受托人未按本合同专用条款的约定，泄露了与本合同工程相关的任何招标资料和情况；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(4)受托人不履行合同义务或不按合同约定履行义务的其他情况。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受托人承担违约责任，赔偿因其违约给委托人造成的经济损失，双方在本合同专用条款内约定受托人赔偿委托人损失的计算方法或受托人应当支付违约金的数额或计算方法。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10.3第三方违约。如果一方的违约被认定为是与第三方共同造成的，则应由合同双方中有违约的一方先行向另一方承担全部违约责任，再由承担违约责任的一方向第三方追索。</w:t>
      </w:r>
    </w:p>
    <w:p>
      <w:pPr>
        <w:spacing w:line="360" w:lineRule="auto"/>
        <w:rPr>
          <w:rFonts w:eastAsiaTheme="minorEastAsia"/>
          <w:color w:val="auto"/>
          <w:sz w:val="24"/>
          <w:highlight w:val="none"/>
        </w:rPr>
      </w:pPr>
      <w:r>
        <w:rPr>
          <w:rFonts w:eastAsiaTheme="minorEastAsia"/>
          <w:color w:val="auto"/>
          <w:sz w:val="24"/>
          <w:highlight w:val="none"/>
        </w:rPr>
        <w:t>11、索赔</w:t>
      </w:r>
    </w:p>
    <w:p>
      <w:pPr>
        <w:spacing w:line="360" w:lineRule="auto"/>
        <w:rPr>
          <w:rFonts w:eastAsiaTheme="minorEastAsia"/>
          <w:color w:val="auto"/>
          <w:sz w:val="24"/>
          <w:highlight w:val="none"/>
        </w:rPr>
      </w:pPr>
      <w:r>
        <w:rPr>
          <w:rFonts w:eastAsiaTheme="minorEastAsia"/>
          <w:color w:val="auto"/>
          <w:sz w:val="24"/>
          <w:highlight w:val="none"/>
        </w:rPr>
        <w:t>11.1当事人一方向另一方提出索赔时，要有正当的索赔理由，且有索赔事件发生时的有效证据。</w:t>
      </w:r>
    </w:p>
    <w:p>
      <w:pPr>
        <w:spacing w:line="360" w:lineRule="auto"/>
        <w:rPr>
          <w:rFonts w:eastAsiaTheme="minorEastAsia"/>
          <w:color w:val="auto"/>
          <w:sz w:val="24"/>
          <w:highlight w:val="none"/>
        </w:rPr>
      </w:pPr>
      <w:r>
        <w:rPr>
          <w:rFonts w:eastAsiaTheme="minorEastAsia"/>
          <w:color w:val="auto"/>
          <w:sz w:val="24"/>
          <w:highlight w:val="none"/>
        </w:rPr>
        <w:t>11.2委托人未能按合同约定履行自己的各项义务，或者发生应由委托人承担责任的其他情况，给受托人造成损失，受托人可按下列程序以书面形式向委托人索赔：</w:t>
      </w:r>
    </w:p>
    <w:p>
      <w:pPr>
        <w:spacing w:line="360" w:lineRule="auto"/>
        <w:rPr>
          <w:rFonts w:eastAsiaTheme="minorEastAsia"/>
          <w:color w:val="auto"/>
          <w:sz w:val="24"/>
          <w:highlight w:val="none"/>
        </w:rPr>
      </w:pPr>
      <w:r>
        <w:rPr>
          <w:rFonts w:eastAsiaTheme="minorEastAsia"/>
          <w:color w:val="auto"/>
          <w:sz w:val="24"/>
          <w:highlight w:val="none"/>
        </w:rPr>
        <w:t>(1)索赔事件发生后7天内，向委托人发出索赔报告及有关资料；</w:t>
      </w:r>
    </w:p>
    <w:p>
      <w:pPr>
        <w:spacing w:line="360" w:lineRule="auto"/>
        <w:rPr>
          <w:rFonts w:eastAsiaTheme="minorEastAsia"/>
          <w:color w:val="auto"/>
          <w:sz w:val="24"/>
          <w:highlight w:val="none"/>
        </w:rPr>
      </w:pPr>
      <w:r>
        <w:rPr>
          <w:rFonts w:eastAsiaTheme="minorEastAsia"/>
          <w:color w:val="auto"/>
          <w:sz w:val="24"/>
          <w:highlight w:val="none"/>
        </w:rPr>
        <w:t>(2)委托人收到受托人的索赔报告及有关资料后，于合理时间内给予答复，如受托人索赔理由和证据不齐全的，委托人有权要求受托人补齐或拒绝受托人的索赔要求；</w:t>
      </w:r>
    </w:p>
    <w:p>
      <w:pPr>
        <w:spacing w:line="360" w:lineRule="auto"/>
        <w:rPr>
          <w:rFonts w:eastAsiaTheme="minorEastAsia"/>
          <w:color w:val="auto"/>
          <w:sz w:val="24"/>
          <w:highlight w:val="none"/>
        </w:rPr>
      </w:pPr>
      <w:r>
        <w:rPr>
          <w:rFonts w:eastAsiaTheme="minorEastAsia"/>
          <w:color w:val="auto"/>
          <w:sz w:val="24"/>
          <w:highlight w:val="none"/>
        </w:rPr>
        <w:t>(3)委托人在接收受托人送交的索赔报告和有关资料后7天内未予答复，或未对受托人作进一步要求，受托人可采用法律手段。</w:t>
      </w:r>
    </w:p>
    <w:p>
      <w:pPr>
        <w:spacing w:line="360" w:lineRule="auto"/>
        <w:rPr>
          <w:rFonts w:eastAsiaTheme="minorEastAsia"/>
          <w:color w:val="auto"/>
          <w:sz w:val="24"/>
          <w:highlight w:val="none"/>
        </w:rPr>
      </w:pPr>
      <w:r>
        <w:rPr>
          <w:rFonts w:eastAsiaTheme="minorEastAsia"/>
          <w:color w:val="auto"/>
          <w:sz w:val="24"/>
          <w:highlight w:val="none"/>
        </w:rPr>
        <w:t>11.3受托人未能按合同约定履行自己的各项义务，或者发生应由受托人承担责任的其他情况，给委托人造成经济损失，委托人可按11.2款确定的时限和程序向受托人提出索赔。</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12.1委托人和受托人在履行合同时发生争议，可以和解或者向有关部门或机构申请调解。当事人不愿和解、调解或者和解、调解不成的，双方可以在本合同专用条款内约定以下一种方式解决争议：</w:t>
      </w:r>
    </w:p>
    <w:p>
      <w:pPr>
        <w:spacing w:line="360" w:lineRule="auto"/>
        <w:rPr>
          <w:rFonts w:eastAsiaTheme="minorEastAsia"/>
          <w:color w:val="auto"/>
          <w:sz w:val="24"/>
          <w:highlight w:val="none"/>
        </w:rPr>
      </w:pPr>
      <w:r>
        <w:rPr>
          <w:rFonts w:eastAsiaTheme="minorEastAsia"/>
          <w:color w:val="auto"/>
          <w:sz w:val="24"/>
          <w:highlight w:val="none"/>
        </w:rPr>
        <w:t>(1) 双方达成仲裁协议，向约定的仲裁委员会申请仲裁；</w:t>
      </w:r>
    </w:p>
    <w:p>
      <w:pPr>
        <w:spacing w:line="360" w:lineRule="auto"/>
        <w:rPr>
          <w:rFonts w:eastAsiaTheme="minorEastAsia"/>
          <w:color w:val="auto"/>
          <w:sz w:val="24"/>
          <w:highlight w:val="none"/>
        </w:rPr>
      </w:pPr>
      <w:r>
        <w:rPr>
          <w:rFonts w:eastAsiaTheme="minorEastAsia"/>
          <w:color w:val="auto"/>
          <w:sz w:val="24"/>
          <w:highlight w:val="none"/>
        </w:rPr>
        <w:t>(2)向有管辖权的人民法院起诉。</w:t>
      </w:r>
    </w:p>
    <w:p>
      <w:pPr>
        <w:spacing w:line="360" w:lineRule="auto"/>
        <w:rPr>
          <w:rFonts w:eastAsiaTheme="minorEastAsia"/>
          <w:color w:val="auto"/>
          <w:sz w:val="24"/>
          <w:highlight w:val="none"/>
        </w:rPr>
      </w:pPr>
      <w:r>
        <w:rPr>
          <w:rFonts w:eastAsiaTheme="minorEastAsia"/>
          <w:color w:val="auto"/>
          <w:sz w:val="24"/>
          <w:highlight w:val="none"/>
        </w:rPr>
        <w:t>五、合同变更、生效与终止</w:t>
      </w:r>
    </w:p>
    <w:p>
      <w:pPr>
        <w:spacing w:line="360" w:lineRule="auto"/>
        <w:rPr>
          <w:rFonts w:eastAsiaTheme="minorEastAsia"/>
          <w:color w:val="auto"/>
          <w:sz w:val="24"/>
          <w:highlight w:val="none"/>
        </w:rPr>
      </w:pPr>
      <w:r>
        <w:rPr>
          <w:rFonts w:eastAsiaTheme="minorEastAsia"/>
          <w:color w:val="auto"/>
          <w:sz w:val="24"/>
          <w:highlight w:val="none"/>
        </w:rPr>
        <w:t>13、合同变更或解除</w:t>
      </w:r>
    </w:p>
    <w:p>
      <w:pPr>
        <w:spacing w:line="360" w:lineRule="auto"/>
        <w:rPr>
          <w:rFonts w:eastAsiaTheme="minorEastAsia"/>
          <w:color w:val="auto"/>
          <w:sz w:val="24"/>
          <w:highlight w:val="none"/>
        </w:rPr>
      </w:pPr>
      <w:r>
        <w:rPr>
          <w:rFonts w:eastAsiaTheme="minorEastAsia"/>
          <w:color w:val="auto"/>
          <w:sz w:val="24"/>
          <w:highlight w:val="none"/>
        </w:rPr>
        <w:t>13.1本合同签订后，由于委托人原因，使得受托人不能持续履行招标代理业务时，委托人应及时通知受托人暂停招标代理业务。当需要恢复招标代理业务时，应当在正式恢复前7天通知受托人。</w:t>
      </w:r>
    </w:p>
    <w:p>
      <w:pPr>
        <w:spacing w:line="360" w:lineRule="auto"/>
        <w:rPr>
          <w:rFonts w:eastAsiaTheme="minorEastAsia"/>
          <w:color w:val="auto"/>
          <w:sz w:val="24"/>
          <w:highlight w:val="none"/>
        </w:rPr>
      </w:pPr>
      <w:r>
        <w:rPr>
          <w:rFonts w:eastAsiaTheme="minorEastAsia"/>
          <w:color w:val="auto"/>
          <w:sz w:val="24"/>
          <w:highlight w:val="none"/>
        </w:rPr>
        <w:t>13.2本合同签订后，如因法律、行政法规发生变化或由于任何后续新颁布的法律、行政法规导致服务所需的成本或时间发生改变，则本合同约定的服务报酬和服务期限由双方签订补充协议进行相应调整。</w:t>
      </w:r>
    </w:p>
    <w:p>
      <w:pPr>
        <w:spacing w:line="360" w:lineRule="auto"/>
        <w:rPr>
          <w:rFonts w:eastAsiaTheme="minorEastAsia"/>
          <w:color w:val="auto"/>
          <w:sz w:val="24"/>
          <w:highlight w:val="none"/>
        </w:rPr>
      </w:pPr>
      <w:r>
        <w:rPr>
          <w:rFonts w:eastAsiaTheme="minorEastAsia"/>
          <w:color w:val="auto"/>
          <w:sz w:val="24"/>
          <w:highlight w:val="none"/>
        </w:rPr>
        <w:t>13.3本合同当事人一方要求变更或解除合同时，除法律、行政法规另有规定外，应与对方当事人协商一致并达成书面协议。末达成书面协议的，本合同依然有效。</w:t>
      </w:r>
    </w:p>
    <w:p>
      <w:pPr>
        <w:spacing w:line="360" w:lineRule="auto"/>
        <w:rPr>
          <w:rFonts w:eastAsiaTheme="minorEastAsia"/>
          <w:color w:val="auto"/>
          <w:sz w:val="24"/>
          <w:highlight w:val="none"/>
        </w:rPr>
      </w:pPr>
      <w:r>
        <w:rPr>
          <w:rFonts w:eastAsiaTheme="minorEastAsia"/>
          <w:color w:val="auto"/>
          <w:sz w:val="24"/>
          <w:highlight w:val="none"/>
        </w:rPr>
        <w:t>13.4因解除合同使当事人一方遭受损失的，除依法可以免除责任外，应由责任方负责赔偿对方的损失，赔偿方法与金额由双方在协议书中约定。</w:t>
      </w:r>
    </w:p>
    <w:p>
      <w:pPr>
        <w:spacing w:line="360" w:lineRule="auto"/>
        <w:rPr>
          <w:rFonts w:eastAsiaTheme="minorEastAsia"/>
          <w:color w:val="auto"/>
          <w:sz w:val="24"/>
          <w:highlight w:val="none"/>
        </w:rPr>
      </w:pPr>
      <w:r>
        <w:rPr>
          <w:rFonts w:eastAsiaTheme="minorEastAsia"/>
          <w:color w:val="auto"/>
          <w:sz w:val="24"/>
          <w:highlight w:val="none"/>
        </w:rPr>
        <w:t>14、合同生效</w:t>
      </w:r>
    </w:p>
    <w:p>
      <w:pPr>
        <w:spacing w:line="360" w:lineRule="auto"/>
        <w:rPr>
          <w:rFonts w:eastAsiaTheme="minorEastAsia"/>
          <w:color w:val="auto"/>
          <w:sz w:val="24"/>
          <w:highlight w:val="none"/>
        </w:rPr>
      </w:pPr>
      <w:r>
        <w:rPr>
          <w:rFonts w:eastAsiaTheme="minorEastAsia"/>
          <w:color w:val="auto"/>
          <w:sz w:val="24"/>
          <w:highlight w:val="none"/>
        </w:rPr>
        <w:t>14.1除生效条件双方在协议书中另有约定外，本合同自双方签字盖章之日起生效。</w:t>
      </w:r>
    </w:p>
    <w:p>
      <w:pPr>
        <w:spacing w:line="360" w:lineRule="auto"/>
        <w:rPr>
          <w:rFonts w:eastAsiaTheme="minorEastAsia"/>
          <w:color w:val="auto"/>
          <w:sz w:val="24"/>
          <w:highlight w:val="none"/>
        </w:rPr>
      </w:pPr>
      <w:r>
        <w:rPr>
          <w:rFonts w:eastAsiaTheme="minorEastAsia"/>
          <w:color w:val="auto"/>
          <w:sz w:val="24"/>
          <w:highlight w:val="none"/>
        </w:rPr>
        <w:t>15、合同终止</w:t>
      </w:r>
    </w:p>
    <w:p>
      <w:pPr>
        <w:spacing w:line="360" w:lineRule="auto"/>
        <w:rPr>
          <w:rFonts w:eastAsiaTheme="minorEastAsia"/>
          <w:color w:val="auto"/>
          <w:sz w:val="24"/>
          <w:highlight w:val="none"/>
        </w:rPr>
      </w:pPr>
      <w:r>
        <w:rPr>
          <w:rFonts w:eastAsiaTheme="minorEastAsia"/>
          <w:color w:val="auto"/>
          <w:sz w:val="24"/>
          <w:highlight w:val="none"/>
        </w:rPr>
        <w:t>15.1受托人完成委托人全部委托招标代理业务，且委托人或中标人支付了全部代理报酬(含附加服务的报酬)后本合同终止。</w:t>
      </w:r>
    </w:p>
    <w:p>
      <w:pPr>
        <w:spacing w:line="360" w:lineRule="auto"/>
        <w:rPr>
          <w:rFonts w:eastAsiaTheme="minorEastAsia"/>
          <w:color w:val="auto"/>
          <w:sz w:val="24"/>
          <w:highlight w:val="none"/>
        </w:rPr>
      </w:pPr>
      <w:r>
        <w:rPr>
          <w:rFonts w:eastAsiaTheme="minorEastAsia"/>
          <w:color w:val="auto"/>
          <w:sz w:val="24"/>
          <w:highlight w:val="none"/>
        </w:rPr>
        <w:t>15.2本合同终止并不影响各方应有的权利和应承担的义务。</w:t>
      </w:r>
    </w:p>
    <w:p>
      <w:pPr>
        <w:spacing w:line="360" w:lineRule="auto"/>
        <w:rPr>
          <w:rFonts w:eastAsiaTheme="minorEastAsia"/>
          <w:color w:val="auto"/>
          <w:sz w:val="24"/>
          <w:highlight w:val="none"/>
        </w:rPr>
      </w:pPr>
      <w:r>
        <w:rPr>
          <w:rFonts w:eastAsiaTheme="minorEastAsia"/>
          <w:color w:val="auto"/>
          <w:sz w:val="24"/>
          <w:highlight w:val="none"/>
        </w:rPr>
        <w:t>15.3</w:t>
      </w:r>
      <w:r>
        <w:rPr>
          <w:rFonts w:hint="eastAsia" w:eastAsiaTheme="minorEastAsia"/>
          <w:color w:val="auto"/>
          <w:sz w:val="24"/>
          <w:highlight w:val="none"/>
        </w:rPr>
        <w:t xml:space="preserve"> 若所代理的招标项目因故取消的，双方协商终止本合同，且按尚未发生任何招标代理工作考虑，委托人将不予支付任何代理报酬。</w:t>
      </w:r>
    </w:p>
    <w:p>
      <w:pPr>
        <w:spacing w:line="360" w:lineRule="auto"/>
        <w:rPr>
          <w:rFonts w:eastAsiaTheme="minorEastAsia"/>
          <w:color w:val="auto"/>
          <w:sz w:val="24"/>
          <w:highlight w:val="none"/>
        </w:rPr>
      </w:pPr>
      <w:r>
        <w:rPr>
          <w:rFonts w:hint="eastAsia" w:eastAsiaTheme="minorEastAsia"/>
          <w:color w:val="auto"/>
          <w:sz w:val="24"/>
          <w:highlight w:val="none"/>
        </w:rPr>
        <w:t xml:space="preserve">15.4 </w:t>
      </w:r>
      <w:r>
        <w:rPr>
          <w:rFonts w:eastAsiaTheme="minorEastAsia"/>
          <w:color w:val="auto"/>
          <w:sz w:val="24"/>
          <w:highlight w:val="none"/>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spacing w:line="360" w:lineRule="auto"/>
        <w:rPr>
          <w:rFonts w:eastAsiaTheme="minorEastAsia"/>
          <w:color w:val="auto"/>
          <w:sz w:val="24"/>
          <w:highlight w:val="none"/>
        </w:rPr>
      </w:pPr>
      <w:r>
        <w:rPr>
          <w:rFonts w:eastAsiaTheme="minorEastAsia"/>
          <w:color w:val="auto"/>
          <w:sz w:val="24"/>
          <w:highlight w:val="none"/>
        </w:rPr>
        <w:t>15.</w:t>
      </w:r>
      <w:r>
        <w:rPr>
          <w:rFonts w:hint="eastAsia" w:eastAsiaTheme="minorEastAsia"/>
          <w:color w:val="auto"/>
          <w:sz w:val="24"/>
          <w:highlight w:val="none"/>
        </w:rPr>
        <w:t>5</w:t>
      </w:r>
      <w:r>
        <w:rPr>
          <w:rFonts w:eastAsiaTheme="minorEastAsia"/>
          <w:color w:val="auto"/>
          <w:sz w:val="24"/>
          <w:highlight w:val="none"/>
        </w:rPr>
        <w:t>本合同的权利义务终止后，委托人和受托人应当遵循诚实信用原则，履行通知、协助、保密等义务。</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16、合同的份数</w:t>
      </w:r>
    </w:p>
    <w:p>
      <w:pPr>
        <w:spacing w:line="360" w:lineRule="auto"/>
        <w:rPr>
          <w:rFonts w:eastAsiaTheme="minorEastAsia"/>
          <w:color w:val="auto"/>
          <w:sz w:val="24"/>
          <w:highlight w:val="none"/>
        </w:rPr>
      </w:pPr>
      <w:r>
        <w:rPr>
          <w:rFonts w:eastAsiaTheme="minorEastAsia"/>
          <w:color w:val="auto"/>
          <w:sz w:val="24"/>
          <w:highlight w:val="none"/>
        </w:rPr>
        <w:t>16.1本合同正本一式两份，委托人和受托人各执一份。副本根据双方需要在本合同专用条款内约定。</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rPr>
      </w:pPr>
      <w:r>
        <w:rPr>
          <w:rFonts w:eastAsiaTheme="minorEastAsia"/>
          <w:color w:val="auto"/>
          <w:sz w:val="24"/>
          <w:highlight w:val="none"/>
        </w:rPr>
        <w:t>双方根据有关法律、行政法规规定，结合本合同招标工程实际，经协商一致后，可对本合同通用条款未涉及的内容进行补充。</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jc w:val="center"/>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3" w:name="_Toc29799"/>
      <w:bookmarkStart w:id="244" w:name="_Toc2627"/>
      <w:r>
        <w:rPr>
          <w:rFonts w:ascii="Times New Roman" w:hAnsi="Times New Roman" w:eastAsiaTheme="minorEastAsia"/>
          <w:color w:val="auto"/>
          <w:sz w:val="24"/>
          <w:szCs w:val="24"/>
          <w:highlight w:val="none"/>
        </w:rPr>
        <w:t>第二部分专用条款</w:t>
      </w:r>
      <w:bookmarkEnd w:id="243"/>
      <w:bookmarkEnd w:id="244"/>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2.1合同文件及解释顺序:本合同协议书—本合同专用条款—本合同通用条款。</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本合同采用的文字为：</w:t>
      </w:r>
      <w:r>
        <w:rPr>
          <w:rFonts w:eastAsiaTheme="minorEastAsia"/>
          <w:color w:val="auto"/>
          <w:sz w:val="24"/>
          <w:highlight w:val="none"/>
          <w:u w:val="single"/>
        </w:rPr>
        <w:t>中文</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3.2本合同需要明示的法律、行政法规：</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4.1委托招标代理工作的具体范围和内容：</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4.1.1</w:t>
      </w:r>
      <w:r>
        <w:rPr>
          <w:rFonts w:hint="eastAsia" w:ascii="Times New Roman" w:hAnsi="Times New Roman" w:eastAsiaTheme="minorEastAsia"/>
          <w:color w:val="auto"/>
          <w:sz w:val="24"/>
          <w:szCs w:val="24"/>
          <w:highlight w:val="none"/>
          <w:u w:val="single"/>
        </w:rPr>
        <w:t xml:space="preserve">       </w:t>
      </w:r>
      <w:r>
        <w:rPr>
          <w:rFonts w:ascii="Times New Roman" w:hAnsi="Times New Roman" w:eastAsiaTheme="minorEastAsia"/>
          <w:b/>
          <w:color w:val="auto"/>
          <w:sz w:val="24"/>
          <w:szCs w:val="24"/>
          <w:highlight w:val="none"/>
          <w:u w:val="single"/>
        </w:rPr>
        <w:t>招标</w:t>
      </w:r>
      <w:r>
        <w:rPr>
          <w:rFonts w:ascii="Times New Roman" w:hAnsi="Times New Roman" w:eastAsiaTheme="minorEastAsia"/>
          <w:color w:val="auto"/>
          <w:sz w:val="24"/>
          <w:szCs w:val="24"/>
          <w:highlight w:val="none"/>
        </w:rPr>
        <w:t>，其中包括但不限于：</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a.招标前的准备工作（如协助招标人进行审批、报建和办理招标申请、备案手续</w:t>
      </w:r>
      <w:r>
        <w:rPr>
          <w:rFonts w:hint="eastAsia" w:eastAsiaTheme="minorEastAsia"/>
          <w:color w:val="auto"/>
          <w:sz w:val="24"/>
          <w:highlight w:val="none"/>
          <w:u w:val="single"/>
        </w:rPr>
        <w:t>）</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b.编制代理招标项目的招标工作计划；</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c.负责联系发布招标公告和中标公示；</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d.组织接收投标申请人报名；</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e.编制招标文件及评标办法；</w:t>
      </w:r>
    </w:p>
    <w:p>
      <w:pPr>
        <w:spacing w:line="360" w:lineRule="auto"/>
        <w:ind w:left="-88" w:leftChars="-42" w:firstLine="480" w:firstLineChars="200"/>
        <w:rPr>
          <w:rFonts w:eastAsiaTheme="minorEastAsia"/>
          <w:color w:val="auto"/>
          <w:sz w:val="24"/>
          <w:highlight w:val="none"/>
          <w:u w:val="single"/>
        </w:rPr>
      </w:pPr>
      <w:r>
        <w:rPr>
          <w:rFonts w:hint="eastAsia" w:eastAsiaTheme="minorEastAsia"/>
          <w:color w:val="auto"/>
          <w:sz w:val="24"/>
          <w:highlight w:val="none"/>
          <w:u w:val="single"/>
        </w:rPr>
        <w:t>f</w:t>
      </w:r>
      <w:r>
        <w:rPr>
          <w:rFonts w:eastAsiaTheme="minorEastAsia"/>
          <w:color w:val="auto"/>
          <w:sz w:val="24"/>
          <w:highlight w:val="none"/>
          <w:u w:val="single"/>
        </w:rPr>
        <w:t>.编制</w:t>
      </w:r>
      <w:r>
        <w:rPr>
          <w:rFonts w:hint="eastAsia" w:eastAsiaTheme="minorEastAsia"/>
          <w:color w:val="auto"/>
          <w:sz w:val="24"/>
          <w:highlight w:val="none"/>
          <w:u w:val="single"/>
        </w:rPr>
        <w:t>招标控制价（如有）</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g.组织招标人审查投标人资格；</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h.组织投标人进行现场勘察和招标答疑，在规定的时间内将经过审定的答疑、澄清和补充通知各个投标人并报送招标人市招标办备案；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i.组织开标、评标会务工作；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j.</w:t>
      </w:r>
      <w:r>
        <w:rPr>
          <w:rFonts w:hint="eastAsia" w:eastAsiaTheme="minorEastAsia"/>
          <w:color w:val="auto"/>
          <w:sz w:val="24"/>
          <w:highlight w:val="none"/>
          <w:u w:val="single"/>
        </w:rPr>
        <w:t>复核评标表格算术性，</w:t>
      </w:r>
      <w:r>
        <w:rPr>
          <w:rFonts w:eastAsiaTheme="minorEastAsia"/>
          <w:color w:val="auto"/>
          <w:sz w:val="24"/>
          <w:highlight w:val="none"/>
          <w:u w:val="single"/>
        </w:rPr>
        <w:t>整理评标报告并报送市招标办及招标人备案；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k.负责办理中标通知书及备案手续；</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l.草拟合同并协助招标人办理合同的签订；</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m.根据委托方要求，向委托方移交有关招标工作资料；</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n.向委托人提供招标前期和招标过程中的咨询服务；</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o.负责招标文件的汇总、审核、印刷、装订、发售和解释工作；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p.负责招标文件向有关审批部门的送审及备案等；</w:t>
      </w:r>
    </w:p>
    <w:p>
      <w:pPr>
        <w:spacing w:line="360" w:lineRule="auto"/>
        <w:ind w:left="-88" w:leftChars="-42" w:firstLine="480" w:firstLineChars="200"/>
        <w:rPr>
          <w:rFonts w:eastAsiaTheme="minorEastAsia"/>
          <w:color w:val="auto"/>
          <w:sz w:val="24"/>
          <w:highlight w:val="none"/>
        </w:rPr>
      </w:pPr>
      <w:r>
        <w:rPr>
          <w:rFonts w:eastAsiaTheme="minorEastAsia"/>
          <w:color w:val="auto"/>
          <w:sz w:val="24"/>
          <w:highlight w:val="none"/>
          <w:u w:val="single"/>
        </w:rPr>
        <w:t>q.负责与招标项目有关的其它事宜。</w:t>
      </w:r>
    </w:p>
    <w:p>
      <w:pPr>
        <w:spacing w:line="360" w:lineRule="auto"/>
        <w:rPr>
          <w:rFonts w:eastAsiaTheme="minorEastAsia"/>
          <w:color w:val="auto"/>
          <w:sz w:val="24"/>
          <w:highlight w:val="none"/>
        </w:rPr>
      </w:pPr>
      <w:r>
        <w:rPr>
          <w:rFonts w:eastAsiaTheme="minorEastAsia"/>
          <w:color w:val="auto"/>
          <w:sz w:val="24"/>
          <w:highlight w:val="none"/>
        </w:rPr>
        <w:t>4.2委托人应按约定的时间和要求完成下列工作：</w:t>
      </w:r>
    </w:p>
    <w:p>
      <w:pPr>
        <w:spacing w:line="360" w:lineRule="auto"/>
        <w:rPr>
          <w:rFonts w:eastAsiaTheme="minorEastAsia"/>
          <w:color w:val="auto"/>
          <w:sz w:val="24"/>
          <w:highlight w:val="none"/>
        </w:rPr>
      </w:pPr>
      <w:r>
        <w:rPr>
          <w:rFonts w:eastAsiaTheme="minorEastAsia"/>
          <w:color w:val="auto"/>
          <w:sz w:val="24"/>
          <w:highlight w:val="none"/>
        </w:rPr>
        <w:t>(1)向受托人提供本工程招标代理业务应具备的相关工程前期资料(如立项批准手续、规划意见书等)及资金落实情况资料的时间：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(2)向受托人提供完成代理招标业务所需的全部资料的时间：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w:t>
      </w:r>
      <w:r>
        <w:rPr>
          <w:rFonts w:eastAsiaTheme="minorEastAsia"/>
          <w:color w:val="auto"/>
          <w:sz w:val="24"/>
          <w:highlight w:val="none"/>
          <w:u w:val="single"/>
        </w:rPr>
        <w:t>配合受托人的工作</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(4)指定的与受托人联系的人员</w:t>
      </w:r>
    </w:p>
    <w:p>
      <w:pPr>
        <w:spacing w:line="360" w:lineRule="auto"/>
        <w:rPr>
          <w:rFonts w:eastAsiaTheme="minorEastAsia"/>
          <w:color w:val="auto"/>
          <w:sz w:val="24"/>
          <w:highlight w:val="none"/>
        </w:rPr>
      </w:pPr>
      <w:r>
        <w:rPr>
          <w:rFonts w:eastAsiaTheme="minorEastAsia"/>
          <w:color w:val="auto"/>
          <w:sz w:val="24"/>
          <w:highlight w:val="none"/>
        </w:rPr>
        <w:t>姓名：</w:t>
      </w:r>
    </w:p>
    <w:p>
      <w:pPr>
        <w:spacing w:line="360" w:lineRule="auto"/>
        <w:rPr>
          <w:rFonts w:eastAsiaTheme="minorEastAsia"/>
          <w:color w:val="auto"/>
          <w:sz w:val="24"/>
          <w:highlight w:val="none"/>
        </w:rPr>
      </w:pPr>
      <w:r>
        <w:rPr>
          <w:rFonts w:eastAsiaTheme="minorEastAsia"/>
          <w:color w:val="auto"/>
          <w:sz w:val="24"/>
          <w:highlight w:val="none"/>
        </w:rPr>
        <w:t>职务：</w:t>
      </w:r>
    </w:p>
    <w:p>
      <w:pPr>
        <w:spacing w:line="360" w:lineRule="auto"/>
        <w:rPr>
          <w:rFonts w:eastAsiaTheme="minorEastAsia"/>
          <w:color w:val="auto"/>
          <w:sz w:val="24"/>
          <w:highlight w:val="none"/>
        </w:rPr>
      </w:pPr>
      <w:r>
        <w:rPr>
          <w:rFonts w:eastAsiaTheme="minorEastAsia"/>
          <w:color w:val="auto"/>
          <w:sz w:val="24"/>
          <w:highlight w:val="none"/>
        </w:rPr>
        <w:t>职称：</w:t>
      </w:r>
    </w:p>
    <w:p>
      <w:pPr>
        <w:spacing w:line="360" w:lineRule="auto"/>
        <w:rPr>
          <w:rFonts w:eastAsiaTheme="minorEastAsia"/>
          <w:color w:val="auto"/>
          <w:sz w:val="24"/>
          <w:highlight w:val="none"/>
        </w:rPr>
      </w:pPr>
      <w:r>
        <w:rPr>
          <w:rFonts w:eastAsiaTheme="minorEastAsia"/>
          <w:color w:val="auto"/>
          <w:sz w:val="24"/>
          <w:highlight w:val="none"/>
        </w:rPr>
        <w:t>电话：</w:t>
      </w:r>
    </w:p>
    <w:p>
      <w:pPr>
        <w:spacing w:line="360" w:lineRule="auto"/>
        <w:rPr>
          <w:rFonts w:eastAsiaTheme="minorEastAsia"/>
          <w:color w:val="auto"/>
          <w:sz w:val="24"/>
          <w:highlight w:val="none"/>
        </w:rPr>
      </w:pPr>
      <w:r>
        <w:rPr>
          <w:rFonts w:eastAsiaTheme="minorEastAsia"/>
          <w:color w:val="auto"/>
          <w:sz w:val="24"/>
          <w:highlight w:val="none"/>
        </w:rPr>
        <w:t>(5)需要与第三方协调的工作：</w:t>
      </w:r>
      <w:r>
        <w:rPr>
          <w:rFonts w:eastAsiaTheme="minorEastAsia"/>
          <w:color w:val="auto"/>
          <w:sz w:val="24"/>
          <w:highlight w:val="none"/>
          <w:u w:val="single"/>
        </w:rPr>
        <w:t>根据招标工作进度安排，协调第三方关系，配合受托人的工作</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(6)应尽的其他义务：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委托人在受托人开展招标代理业务之前应按照有关规定办全本项目招标所需的有关审批手续，使招标工作具备条件。</w:t>
      </w:r>
      <w:r>
        <w:rPr>
          <w:rFonts w:hint="eastAsia" w:ascii="宋体" w:hAnsi="宋体" w:cs="宋体"/>
          <w:color w:val="auto"/>
          <w:sz w:val="24"/>
          <w:highlight w:val="none"/>
          <w:u w:val="single"/>
        </w:rPr>
        <w:t>②</w:t>
      </w:r>
      <w:r>
        <w:rPr>
          <w:rFonts w:eastAsiaTheme="minorEastAsia"/>
          <w:color w:val="auto"/>
          <w:sz w:val="24"/>
          <w:highlight w:val="none"/>
          <w:u w:val="single"/>
        </w:rPr>
        <w:t>对受托人提出的书面要求，委托人应在合理时间内做出书面答复。如因此造成的时间延长由委托人负责。</w:t>
      </w:r>
      <w:r>
        <w:rPr>
          <w:rFonts w:hint="eastAsia" w:ascii="宋体" w:hAnsi="宋体" w:cs="宋体"/>
          <w:color w:val="auto"/>
          <w:sz w:val="24"/>
          <w:highlight w:val="none"/>
          <w:u w:val="single"/>
        </w:rPr>
        <w:t>③</w:t>
      </w:r>
      <w:r>
        <w:rPr>
          <w:rFonts w:eastAsiaTheme="minorEastAsia"/>
          <w:color w:val="auto"/>
          <w:sz w:val="24"/>
          <w:highlight w:val="none"/>
          <w:u w:val="single"/>
        </w:rPr>
        <w:t>在合同履行期间，委派熟悉业务、知晓法律法规、工作认真负责的作为委托人的代表，配合受托人工作。</w:t>
      </w:r>
      <w:r>
        <w:rPr>
          <w:rFonts w:hint="eastAsia" w:ascii="宋体" w:hAnsi="宋体" w:cs="宋体"/>
          <w:color w:val="auto"/>
          <w:sz w:val="24"/>
          <w:highlight w:val="none"/>
          <w:u w:val="single"/>
        </w:rPr>
        <w:t>④</w:t>
      </w:r>
      <w:r>
        <w:rPr>
          <w:rFonts w:eastAsiaTheme="minorEastAsia"/>
          <w:color w:val="auto"/>
          <w:sz w:val="24"/>
          <w:highlight w:val="none"/>
          <w:u w:val="single"/>
        </w:rPr>
        <w:t>委托人不得泄露依法应当保密的任何信息。</w:t>
      </w:r>
      <w:r>
        <w:rPr>
          <w:rFonts w:hint="eastAsia" w:ascii="宋体" w:hAnsi="宋体" w:cs="宋体"/>
          <w:color w:val="auto"/>
          <w:sz w:val="24"/>
          <w:highlight w:val="none"/>
          <w:u w:val="single"/>
        </w:rPr>
        <w:t>⑤</w:t>
      </w:r>
      <w:r>
        <w:rPr>
          <w:rFonts w:eastAsiaTheme="minorEastAsia"/>
          <w:color w:val="auto"/>
          <w:sz w:val="24"/>
          <w:highlight w:val="none"/>
          <w:u w:val="single"/>
        </w:rPr>
        <w:t>委托方及其工作人员，不得以任何形式向受托人收受或索要回扣、好处费等。</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5.1招标代理项目组人员：</w:t>
      </w:r>
    </w:p>
    <w:p>
      <w:pPr>
        <w:spacing w:line="360" w:lineRule="auto"/>
        <w:rPr>
          <w:rFonts w:eastAsiaTheme="minorEastAsia"/>
          <w:color w:val="auto"/>
          <w:sz w:val="24"/>
          <w:highlight w:val="none"/>
        </w:rPr>
      </w:pPr>
      <w:r>
        <w:rPr>
          <w:rFonts w:eastAsiaTheme="minorEastAsia"/>
          <w:color w:val="auto"/>
          <w:sz w:val="24"/>
          <w:highlight w:val="none"/>
        </w:rPr>
        <w:t>5.1.1总体联络人姓名：身份证号：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5.1.2文件审核人姓名：身份证号：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5.1.3文件编制人姓名：身份证号：</w:t>
      </w:r>
    </w:p>
    <w:p>
      <w:pPr>
        <w:spacing w:line="360" w:lineRule="auto"/>
        <w:rPr>
          <w:rFonts w:eastAsiaTheme="minorEastAsia"/>
          <w:color w:val="auto"/>
          <w:sz w:val="24"/>
          <w:highlight w:val="none"/>
        </w:rPr>
      </w:pPr>
      <w:r>
        <w:rPr>
          <w:rFonts w:eastAsiaTheme="minorEastAsia"/>
          <w:color w:val="auto"/>
          <w:sz w:val="24"/>
          <w:highlight w:val="none"/>
        </w:rPr>
        <w:t>5.2受托人应按约定的时间和要求完成下列工作：</w:t>
      </w:r>
    </w:p>
    <w:p>
      <w:pPr>
        <w:spacing w:line="360" w:lineRule="auto"/>
        <w:rPr>
          <w:rFonts w:eastAsiaTheme="minorEastAsia"/>
          <w:color w:val="auto"/>
          <w:sz w:val="24"/>
          <w:highlight w:val="none"/>
          <w:u w:val="single"/>
        </w:rPr>
      </w:pPr>
      <w:r>
        <w:rPr>
          <w:rFonts w:eastAsiaTheme="minorEastAsia"/>
          <w:color w:val="auto"/>
          <w:sz w:val="24"/>
          <w:highlight w:val="none"/>
        </w:rPr>
        <w:t>(1)组织招标工作的内容和时间：</w:t>
      </w:r>
      <w:r>
        <w:rPr>
          <w:rFonts w:eastAsiaTheme="minorEastAsia"/>
          <w:color w:val="auto"/>
          <w:sz w:val="24"/>
          <w:highlight w:val="none"/>
          <w:u w:val="single"/>
        </w:rPr>
        <w:t>合同签订生效，委托人将必需的完整资料提供给受托方之日起至合同备案之日止。</w:t>
      </w:r>
    </w:p>
    <w:p>
      <w:pPr>
        <w:spacing w:line="360" w:lineRule="auto"/>
        <w:rPr>
          <w:rFonts w:eastAsiaTheme="minorEastAsia"/>
          <w:color w:val="auto"/>
          <w:sz w:val="24"/>
          <w:highlight w:val="none"/>
        </w:rPr>
      </w:pPr>
      <w:r>
        <w:rPr>
          <w:rFonts w:eastAsiaTheme="minorEastAsia"/>
          <w:color w:val="auto"/>
          <w:sz w:val="24"/>
          <w:highlight w:val="none"/>
        </w:rPr>
        <w:t>(2)为招标人提供的为完成招标工作的相关咨询服务：</w:t>
      </w:r>
      <w:r>
        <w:rPr>
          <w:rFonts w:eastAsiaTheme="minorEastAsia"/>
          <w:color w:val="auto"/>
          <w:sz w:val="24"/>
          <w:highlight w:val="none"/>
          <w:u w:val="single"/>
        </w:rPr>
        <w:t>在项目招标期间，提供咨询、顾问等相关服务。</w:t>
      </w:r>
    </w:p>
    <w:p>
      <w:pPr>
        <w:spacing w:line="360" w:lineRule="auto"/>
        <w:ind w:left="-7" w:leftChars="-19" w:hanging="33" w:hangingChars="14"/>
        <w:rPr>
          <w:rFonts w:eastAsiaTheme="minorEastAsia"/>
          <w:color w:val="auto"/>
          <w:sz w:val="24"/>
          <w:highlight w:val="none"/>
        </w:rPr>
      </w:pPr>
      <w:r>
        <w:rPr>
          <w:rFonts w:eastAsiaTheme="minorEastAsia"/>
          <w:color w:val="auto"/>
          <w:sz w:val="24"/>
          <w:highlight w:val="none"/>
        </w:rPr>
        <w:t>(3)承担招标代理业务过程中，如编制招标文件、预审文件，审查投标人资格，组织投标人踏勘现场并答疑，组织开标、评标、定标，提供招标前期和执行过程中的咨询服务，印刷合同及协调合同签订等服务费用外，还应该</w:t>
      </w:r>
      <w:r>
        <w:rPr>
          <w:rFonts w:eastAsiaTheme="minorEastAsia"/>
          <w:color w:val="auto"/>
          <w:sz w:val="24"/>
          <w:highlight w:val="none"/>
          <w:u w:val="single"/>
        </w:rPr>
        <w:t>包括招标代理工作过程中发生劳务费、技术服务费、通讯、交通、办公场地、评标专家评审费、管理费、税费和利润等与业务有关的一切费用和政策性文件规定及合同包含的所有风险、责任等各项应有的费用及外地评标专家（如有）食宿费和来往交通费。</w:t>
      </w:r>
    </w:p>
    <w:p>
      <w:pPr>
        <w:spacing w:line="360" w:lineRule="auto"/>
        <w:rPr>
          <w:rFonts w:eastAsiaTheme="minorEastAsia"/>
          <w:color w:val="auto"/>
          <w:sz w:val="24"/>
          <w:highlight w:val="none"/>
          <w:u w:val="single"/>
        </w:rPr>
      </w:pPr>
      <w:r>
        <w:rPr>
          <w:rFonts w:eastAsiaTheme="minorEastAsia"/>
          <w:color w:val="auto"/>
          <w:sz w:val="24"/>
          <w:highlight w:val="none"/>
        </w:rPr>
        <w:t>(4)应尽的其他义务：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受托人工作人员如与本工程潜在投标人有任何利益关系应主动提出回避。</w:t>
      </w:r>
      <w:r>
        <w:rPr>
          <w:rFonts w:hint="eastAsia" w:ascii="宋体" w:hAnsi="宋体" w:cs="宋体"/>
          <w:color w:val="auto"/>
          <w:sz w:val="24"/>
          <w:highlight w:val="none"/>
          <w:u w:val="single"/>
        </w:rPr>
        <w:t>②</w:t>
      </w:r>
      <w:r>
        <w:rPr>
          <w:rFonts w:eastAsiaTheme="minorEastAsia"/>
          <w:color w:val="auto"/>
          <w:sz w:val="24"/>
          <w:highlight w:val="none"/>
          <w:u w:val="single"/>
        </w:rPr>
        <w:t>在代理活动中不得泄露依法应当保密的任何信息。</w:t>
      </w:r>
      <w:r>
        <w:rPr>
          <w:rFonts w:hint="eastAsia" w:ascii="宋体" w:hAnsi="宋体" w:cs="宋体"/>
          <w:color w:val="auto"/>
          <w:sz w:val="24"/>
          <w:highlight w:val="none"/>
          <w:u w:val="single"/>
        </w:rPr>
        <w:t>③</w:t>
      </w:r>
      <w:r>
        <w:rPr>
          <w:rFonts w:eastAsiaTheme="minorEastAsia"/>
          <w:color w:val="auto"/>
          <w:sz w:val="24"/>
          <w:highlight w:val="none"/>
          <w:u w:val="single"/>
        </w:rPr>
        <w:t>受托人成立项目管理机构，负责完成本合同工作内容，其项目管理机构成员未经委托人书面同意，不得更换。</w:t>
      </w:r>
      <w:r>
        <w:rPr>
          <w:rFonts w:hint="eastAsia" w:ascii="宋体" w:hAnsi="宋体" w:cs="宋体"/>
          <w:color w:val="auto"/>
          <w:sz w:val="24"/>
          <w:highlight w:val="none"/>
          <w:u w:val="single"/>
        </w:rPr>
        <w:t>④</w:t>
      </w:r>
      <w:r>
        <w:rPr>
          <w:rFonts w:eastAsiaTheme="minorEastAsia"/>
          <w:color w:val="auto"/>
          <w:sz w:val="24"/>
          <w:highlight w:val="none"/>
          <w:u w:val="single"/>
        </w:rPr>
        <w:t>因受托人的单方过失给委托人造成损失，应当向委托人进行赔偿并消除影响。</w:t>
      </w:r>
      <w:r>
        <w:rPr>
          <w:rFonts w:hint="eastAsia" w:ascii="宋体" w:hAnsi="宋体" w:cs="宋体"/>
          <w:color w:val="auto"/>
          <w:sz w:val="24"/>
          <w:highlight w:val="none"/>
          <w:u w:val="single"/>
        </w:rPr>
        <w:t>⑤</w:t>
      </w:r>
      <w:r>
        <w:rPr>
          <w:rFonts w:eastAsiaTheme="minorEastAsia"/>
          <w:color w:val="auto"/>
          <w:sz w:val="24"/>
          <w:highlight w:val="none"/>
          <w:u w:val="single"/>
        </w:rPr>
        <w:t>因不可抗力导致本合同不能全部或部分履行，受托人不承担责任。</w:t>
      </w:r>
      <w:r>
        <w:rPr>
          <w:rFonts w:hint="eastAsia" w:ascii="宋体" w:hAnsi="宋体" w:cs="宋体"/>
          <w:color w:val="auto"/>
          <w:sz w:val="24"/>
          <w:highlight w:val="none"/>
          <w:u w:val="single"/>
        </w:rPr>
        <w:t>⑥</w:t>
      </w:r>
      <w:r>
        <w:rPr>
          <w:rFonts w:eastAsiaTheme="minorEastAsia"/>
          <w:color w:val="auto"/>
          <w:sz w:val="24"/>
          <w:highlight w:val="none"/>
          <w:u w:val="single"/>
        </w:rPr>
        <w:t>受托人不得采用行贿、给予其他利益或者诋毁他人等不正当手段进行竞争。</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6.1委托人拥有的权利：</w:t>
      </w:r>
    </w:p>
    <w:p>
      <w:pPr>
        <w:spacing w:line="360" w:lineRule="auto"/>
        <w:rPr>
          <w:rFonts w:eastAsiaTheme="minorEastAsia"/>
          <w:color w:val="auto"/>
          <w:sz w:val="24"/>
          <w:highlight w:val="none"/>
          <w:u w:val="single"/>
        </w:rPr>
      </w:pPr>
      <w:r>
        <w:rPr>
          <w:rFonts w:eastAsiaTheme="minorEastAsia"/>
          <w:color w:val="auto"/>
          <w:sz w:val="24"/>
          <w:highlight w:val="none"/>
        </w:rPr>
        <w:t>委托人拥有的其他权利：</w:t>
      </w:r>
      <w:r>
        <w:rPr>
          <w:rFonts w:hint="eastAsia" w:ascii="宋体" w:hAnsi="宋体" w:cs="宋体"/>
          <w:color w:val="auto"/>
          <w:sz w:val="24"/>
          <w:highlight w:val="none"/>
          <w:u w:val="single"/>
        </w:rPr>
        <w:t>①</w:t>
      </w:r>
      <w:r>
        <w:rPr>
          <w:rFonts w:eastAsiaTheme="minorEastAsia"/>
          <w:color w:val="auto"/>
          <w:sz w:val="24"/>
          <w:highlight w:val="none"/>
          <w:u w:val="single"/>
        </w:rPr>
        <w:t>委托人有权参与受托人开展的和本项目有关的招投标的有关活动；</w:t>
      </w:r>
      <w:r>
        <w:rPr>
          <w:rFonts w:hint="eastAsia" w:ascii="宋体" w:hAnsi="宋体" w:cs="宋体"/>
          <w:color w:val="auto"/>
          <w:sz w:val="24"/>
          <w:highlight w:val="none"/>
          <w:u w:val="single"/>
        </w:rPr>
        <w:t>②</w:t>
      </w:r>
      <w:r>
        <w:rPr>
          <w:rFonts w:eastAsiaTheme="minorEastAsia"/>
          <w:color w:val="auto"/>
          <w:sz w:val="24"/>
          <w:highlight w:val="none"/>
          <w:u w:val="single"/>
        </w:rPr>
        <w:t>委托人有权要求受托人更换项目负责人和应回避的人员；</w:t>
      </w:r>
      <w:r>
        <w:rPr>
          <w:rFonts w:hint="eastAsia" w:ascii="宋体" w:hAnsi="宋体" w:cs="宋体"/>
          <w:color w:val="auto"/>
          <w:sz w:val="24"/>
          <w:highlight w:val="none"/>
          <w:u w:val="single"/>
        </w:rPr>
        <w:t>③</w:t>
      </w:r>
      <w:r>
        <w:rPr>
          <w:rFonts w:eastAsiaTheme="minorEastAsia"/>
          <w:color w:val="auto"/>
          <w:sz w:val="24"/>
          <w:highlight w:val="none"/>
          <w:u w:val="single"/>
        </w:rPr>
        <w:t>委托人有权确定受托人的具体工作内容；</w:t>
      </w:r>
      <w:r>
        <w:rPr>
          <w:rFonts w:hint="eastAsia" w:ascii="宋体" w:hAnsi="宋体" w:cs="宋体"/>
          <w:color w:val="auto"/>
          <w:sz w:val="24"/>
          <w:highlight w:val="none"/>
          <w:u w:val="single"/>
        </w:rPr>
        <w:t>④</w:t>
      </w:r>
      <w:r>
        <w:rPr>
          <w:rFonts w:eastAsiaTheme="minorEastAsia"/>
          <w:color w:val="auto"/>
          <w:sz w:val="24"/>
          <w:highlight w:val="none"/>
          <w:u w:val="single"/>
        </w:rPr>
        <w:t>如委托人或建设行政主管部门发现受托人在代理活动中违反有关的法律、法规和建设程序或越权代理的行为并经确认，委托人有权要求受托人及时纠正，如该行为多次发生，委托人有权解除合同，受托人应赔偿因违约造成委托人的直接和间接经济损失。</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8.1代理报酬的计算方法：</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2</w:t>
      </w:r>
      <w:r>
        <w:rPr>
          <w:rFonts w:eastAsiaTheme="minorEastAsia"/>
          <w:color w:val="auto"/>
          <w:sz w:val="24"/>
          <w:highlight w:val="none"/>
        </w:rPr>
        <w:t>）</w:t>
      </w:r>
      <w:r>
        <w:rPr>
          <w:rFonts w:hint="eastAsia" w:eastAsiaTheme="minorEastAsia"/>
          <w:color w:val="auto"/>
          <w:sz w:val="24"/>
          <w:highlight w:val="none"/>
          <w:u w:val="single"/>
        </w:rPr>
        <w:t>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3</w:t>
      </w:r>
      <w:r>
        <w:rPr>
          <w:rFonts w:eastAsiaTheme="minorEastAsia"/>
          <w:color w:val="auto"/>
          <w:sz w:val="24"/>
          <w:highlight w:val="none"/>
        </w:rPr>
        <w:t>）</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     ，税额为¥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jc w:val="center"/>
        <w:rPr>
          <w:rFonts w:eastAsiaTheme="minorEastAsia"/>
          <w:b/>
          <w:color w:val="auto"/>
          <w:sz w:val="24"/>
          <w:highlight w:val="none"/>
        </w:rPr>
      </w:pPr>
      <w:r>
        <w:rPr>
          <w:rFonts w:eastAsiaTheme="minorEastAsia"/>
          <w:b/>
          <w:color w:val="auto"/>
          <w:sz w:val="24"/>
          <w:highlight w:val="none"/>
        </w:rPr>
        <w:t>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rPr>
          <w:rFonts w:eastAsiaTheme="minorEastAsia"/>
          <w:color w:val="auto"/>
          <w:sz w:val="24"/>
          <w:highlight w:val="none"/>
        </w:rPr>
      </w:pPr>
      <w:r>
        <w:rPr>
          <w:rFonts w:eastAsiaTheme="minorEastAsia"/>
          <w:color w:val="auto"/>
          <w:sz w:val="24"/>
          <w:highlight w:val="none"/>
        </w:rPr>
        <w:t>代理报酬的币种：</w:t>
      </w:r>
      <w:r>
        <w:rPr>
          <w:rFonts w:eastAsiaTheme="minorEastAsia"/>
          <w:color w:val="auto"/>
          <w:sz w:val="24"/>
          <w:highlight w:val="none"/>
          <w:u w:val="single"/>
        </w:rPr>
        <w:t>人民币</w:t>
      </w:r>
    </w:p>
    <w:p>
      <w:pPr>
        <w:spacing w:line="360" w:lineRule="auto"/>
        <w:rPr>
          <w:rFonts w:eastAsiaTheme="minorEastAsia"/>
          <w:color w:val="auto"/>
          <w:sz w:val="24"/>
          <w:highlight w:val="none"/>
        </w:rPr>
      </w:pPr>
      <w:r>
        <w:rPr>
          <w:rFonts w:eastAsiaTheme="minorEastAsia"/>
          <w:color w:val="auto"/>
          <w:sz w:val="24"/>
          <w:highlight w:val="none"/>
        </w:rPr>
        <w:t>代理报酬的支付方式：</w:t>
      </w:r>
      <w:r>
        <w:rPr>
          <w:rFonts w:eastAsiaTheme="minorEastAsia"/>
          <w:color w:val="auto"/>
          <w:sz w:val="24"/>
          <w:highlight w:val="none"/>
          <w:u w:val="single"/>
        </w:rPr>
        <w:t>委托人在中标通知书发出后支付受托人90%的代理报酬，受托人</w:t>
      </w:r>
      <w:r>
        <w:rPr>
          <w:rFonts w:hint="eastAsia" w:eastAsiaTheme="minorEastAsia"/>
          <w:color w:val="auto"/>
          <w:sz w:val="24"/>
          <w:highlight w:val="none"/>
          <w:u w:val="single"/>
        </w:rPr>
        <w:t>工作成果得到委托人及相关部门认可后（认可依据材料：招标项目合同、中标通知书）按结算相关管理办法进行结算，委托人根据审核结果向受托人支付本项目剩余代理报酬，如需行政监管部门审核，则以桂林市审计局的审计结果或桂林市财政投资评审中心的审核结算作为竣工结算的依据。</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10.1本合同关于委托人违约的具体责任：</w:t>
      </w:r>
    </w:p>
    <w:p>
      <w:pPr>
        <w:spacing w:line="360" w:lineRule="auto"/>
        <w:rPr>
          <w:rFonts w:eastAsiaTheme="minorEastAsia"/>
          <w:color w:val="auto"/>
          <w:sz w:val="24"/>
          <w:highlight w:val="none"/>
        </w:rPr>
      </w:pPr>
      <w:r>
        <w:rPr>
          <w:rFonts w:eastAsiaTheme="minorEastAsia"/>
          <w:color w:val="auto"/>
          <w:sz w:val="24"/>
          <w:highlight w:val="none"/>
        </w:rPr>
        <w:t>(1)委托人未按照本合同通用条款第4.2一(3)款的约定，向受托人提供保证招标工作顺利完成的条件应承担的违约责任：</w:t>
      </w:r>
      <w:r>
        <w:rPr>
          <w:rFonts w:eastAsiaTheme="minorEastAsia"/>
          <w:color w:val="auto"/>
          <w:sz w:val="24"/>
          <w:highlight w:val="none"/>
          <w:u w:val="single"/>
        </w:rPr>
        <w:t>工作时间顺延</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(2)委托人未按本合同通用条款第4.2一(6)款的约定，向受托人支付委托代理报酬应承担的违约责任：</w:t>
      </w:r>
      <w:r>
        <w:rPr>
          <w:rFonts w:eastAsiaTheme="minorEastAsia"/>
          <w:color w:val="auto"/>
          <w:sz w:val="24"/>
          <w:highlight w:val="none"/>
          <w:u w:val="single"/>
        </w:rPr>
        <w:t>自规定支付之日起一个月内支付，每拖延一日支付，按照拖欠酬金的千分之二向委托人承担违约责任</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(3)双方约定的委托人的其他违约责任：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 xml:space="preserve"> 10.2本合同关于受托人违约的具体责任：</w:t>
      </w:r>
    </w:p>
    <w:p>
      <w:pPr>
        <w:spacing w:line="360" w:lineRule="auto"/>
        <w:rPr>
          <w:rFonts w:eastAsiaTheme="minorEastAsia"/>
          <w:color w:val="auto"/>
          <w:sz w:val="24"/>
          <w:highlight w:val="none"/>
        </w:rPr>
      </w:pPr>
      <w:r>
        <w:rPr>
          <w:rFonts w:eastAsiaTheme="minorEastAsia"/>
          <w:color w:val="auto"/>
          <w:sz w:val="24"/>
          <w:highlight w:val="none"/>
        </w:rPr>
        <w:t>(1)受托人未按照本合同通用条款第5.2一(2)款的约定，向委托人提供未完成招标工作的咨询服务应承担的违约责任：</w:t>
      </w:r>
      <w:r>
        <w:rPr>
          <w:rFonts w:eastAsiaTheme="minorEastAsia"/>
          <w:color w:val="auto"/>
          <w:sz w:val="24"/>
          <w:highlight w:val="none"/>
          <w:u w:val="single"/>
        </w:rPr>
        <w:t>未按时完成每天罚扣应支付代理服务费的千分之二</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(2)受托人违反本合同通用条款第5.4款的约定，接受了与本合同工程建设项目有关的投标咨询业务应承担的违约责任：</w:t>
      </w:r>
      <w:r>
        <w:rPr>
          <w:rFonts w:eastAsiaTheme="minorEastAsia"/>
          <w:color w:val="auto"/>
          <w:sz w:val="24"/>
          <w:highlight w:val="none"/>
          <w:u w:val="single"/>
        </w:rPr>
        <w:t>委托人有权解除本合同并要求受托人支付因此造成的全部损失（包括直接的及间接的损失），并承担法律责任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(3)受托人违反本合同通用条款第5.7款的约定，泄露了与本合同工程相关的任何不应泄露的招标资料和情况应承担的违约责任：</w:t>
      </w:r>
      <w:r>
        <w:rPr>
          <w:rFonts w:eastAsiaTheme="minorEastAsia"/>
          <w:color w:val="auto"/>
          <w:sz w:val="24"/>
          <w:highlight w:val="none"/>
          <w:u w:val="single"/>
        </w:rPr>
        <w:t>赔偿委托人因此而造成的全部损失（包括直接的及间接的损失），并承担法律责任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(4)受托人应确保项目组人员到位，承担人员缺失的违约责任：</w:t>
      </w:r>
      <w:r>
        <w:rPr>
          <w:rFonts w:eastAsiaTheme="minorEastAsia"/>
          <w:color w:val="auto"/>
          <w:sz w:val="24"/>
          <w:highlight w:val="none"/>
          <w:u w:val="single"/>
        </w:rPr>
        <w:t>项目组人员未向委托人请假，擅自离开</w:t>
      </w:r>
      <w:r>
        <w:rPr>
          <w:rFonts w:hint="eastAsia" w:eastAsiaTheme="minorEastAsia"/>
          <w:color w:val="auto"/>
          <w:sz w:val="24"/>
          <w:highlight w:val="none"/>
          <w:u w:val="single"/>
        </w:rPr>
        <w:t>桂林</w:t>
      </w:r>
      <w:r>
        <w:rPr>
          <w:rFonts w:eastAsiaTheme="minorEastAsia"/>
          <w:color w:val="auto"/>
          <w:sz w:val="24"/>
          <w:highlight w:val="none"/>
          <w:u w:val="single"/>
        </w:rPr>
        <w:t>的按每人每天罚扣应支付代理服务费的千分之二；未经委托人同意擅自更换项目组人员的，第5.1.1和5.1.2款的人员按每人每次罚扣10000元，其余人员按每人每次罚扣3000元</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(5)双方约定的受托人的其他违约责任：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12.1双方约定，凡因执行本合同所发生的与本合同有关的一切争议时，由当地建设行政主管部门进行调解，当和解或调解不成时，可选择（2）方式解决：</w:t>
      </w:r>
    </w:p>
    <w:p>
      <w:pPr>
        <w:spacing w:line="360" w:lineRule="auto"/>
        <w:rPr>
          <w:rFonts w:eastAsiaTheme="minorEastAsia"/>
          <w:color w:val="auto"/>
          <w:sz w:val="24"/>
          <w:highlight w:val="none"/>
        </w:rPr>
      </w:pPr>
      <w:r>
        <w:rPr>
          <w:rFonts w:eastAsiaTheme="minorEastAsia"/>
          <w:color w:val="auto"/>
          <w:sz w:val="24"/>
          <w:highlight w:val="none"/>
        </w:rPr>
        <w:t>(1)将协议提交</w:t>
      </w:r>
      <w:r>
        <w:rPr>
          <w:rFonts w:hint="eastAsia" w:eastAsiaTheme="minorEastAsia"/>
          <w:color w:val="auto"/>
          <w:sz w:val="24"/>
          <w:highlight w:val="none"/>
        </w:rPr>
        <w:t>桂林</w:t>
      </w:r>
      <w:r>
        <w:rPr>
          <w:rFonts w:eastAsiaTheme="minorEastAsia"/>
          <w:color w:val="auto"/>
          <w:sz w:val="24"/>
          <w:highlight w:val="none"/>
        </w:rPr>
        <w:t>仲裁委员会仲裁</w:t>
      </w:r>
    </w:p>
    <w:p>
      <w:pPr>
        <w:spacing w:line="360" w:lineRule="auto"/>
        <w:rPr>
          <w:rFonts w:eastAsiaTheme="minorEastAsia"/>
          <w:color w:val="auto"/>
          <w:sz w:val="24"/>
          <w:highlight w:val="none"/>
        </w:rPr>
      </w:pPr>
      <w:r>
        <w:rPr>
          <w:rFonts w:eastAsiaTheme="minorEastAsia"/>
          <w:color w:val="auto"/>
          <w:sz w:val="24"/>
          <w:highlight w:val="none"/>
        </w:rPr>
        <w:t>(2)依法向</w:t>
      </w:r>
      <w:r>
        <w:rPr>
          <w:rFonts w:eastAsiaTheme="minorEastAsia"/>
          <w:color w:val="auto"/>
          <w:sz w:val="24"/>
          <w:highlight w:val="none"/>
          <w:u w:val="single"/>
        </w:rPr>
        <w:t>委托人所在地</w:t>
      </w:r>
      <w:r>
        <w:rPr>
          <w:rFonts w:eastAsiaTheme="minorEastAsia"/>
          <w:color w:val="auto"/>
          <w:sz w:val="24"/>
          <w:highlight w:val="none"/>
        </w:rPr>
        <w:t>人民法院提起诉讼。</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16、合同份数</w:t>
      </w:r>
    </w:p>
    <w:p>
      <w:pPr>
        <w:spacing w:line="360" w:lineRule="auto"/>
        <w:rPr>
          <w:rFonts w:eastAsiaTheme="minorEastAsia"/>
          <w:color w:val="auto"/>
          <w:sz w:val="24"/>
          <w:highlight w:val="none"/>
        </w:rPr>
      </w:pPr>
      <w:r>
        <w:rPr>
          <w:rFonts w:eastAsiaTheme="minorEastAsia"/>
          <w:color w:val="auto"/>
          <w:sz w:val="24"/>
          <w:highlight w:val="none"/>
        </w:rPr>
        <w:t>16.1双方约定合同正本</w:t>
      </w:r>
      <w:r>
        <w:rPr>
          <w:rFonts w:eastAsiaTheme="minorEastAsia"/>
          <w:color w:val="auto"/>
          <w:sz w:val="24"/>
          <w:highlight w:val="none"/>
          <w:u w:val="single"/>
        </w:rPr>
        <w:t xml:space="preserve"> 2 </w:t>
      </w:r>
      <w:r>
        <w:rPr>
          <w:rFonts w:eastAsiaTheme="minorEastAsia"/>
          <w:color w:val="auto"/>
          <w:sz w:val="24"/>
          <w:highlight w:val="none"/>
        </w:rPr>
        <w:t>份，副本</w:t>
      </w:r>
      <w:r>
        <w:rPr>
          <w:rFonts w:eastAsiaTheme="minorEastAsia"/>
          <w:color w:val="auto"/>
          <w:sz w:val="24"/>
          <w:highlight w:val="none"/>
          <w:u w:val="single"/>
        </w:rPr>
        <w:t xml:space="preserve"> 6 </w:t>
      </w:r>
      <w:r>
        <w:rPr>
          <w:rFonts w:eastAsiaTheme="minorEastAsia"/>
          <w:color w:val="auto"/>
          <w:sz w:val="24"/>
          <w:highlight w:val="none"/>
        </w:rPr>
        <w:t>份，委托人、受托人双方各执正本</w:t>
      </w:r>
      <w:r>
        <w:rPr>
          <w:rFonts w:eastAsiaTheme="minorEastAsia"/>
          <w:color w:val="auto"/>
          <w:sz w:val="24"/>
          <w:highlight w:val="none"/>
          <w:u w:val="single"/>
        </w:rPr>
        <w:t>1</w:t>
      </w:r>
      <w:r>
        <w:rPr>
          <w:rFonts w:eastAsiaTheme="minorEastAsia"/>
          <w:color w:val="auto"/>
          <w:sz w:val="24"/>
          <w:highlight w:val="none"/>
        </w:rPr>
        <w:t>份，委托人执副本</w:t>
      </w:r>
      <w:r>
        <w:rPr>
          <w:rFonts w:eastAsiaTheme="minorEastAsia"/>
          <w:color w:val="auto"/>
          <w:sz w:val="24"/>
          <w:highlight w:val="none"/>
          <w:u w:val="single"/>
        </w:rPr>
        <w:t xml:space="preserve"> 4</w:t>
      </w:r>
      <w:r>
        <w:rPr>
          <w:rFonts w:eastAsiaTheme="minorEastAsia"/>
          <w:color w:val="auto"/>
          <w:sz w:val="24"/>
          <w:highlight w:val="none"/>
        </w:rPr>
        <w:t>份，受托人执副本</w:t>
      </w:r>
      <w:r>
        <w:rPr>
          <w:rFonts w:eastAsiaTheme="minorEastAsia"/>
          <w:color w:val="auto"/>
          <w:sz w:val="24"/>
          <w:highlight w:val="none"/>
          <w:u w:val="single"/>
        </w:rPr>
        <w:t xml:space="preserve"> 2</w:t>
      </w:r>
      <w:r>
        <w:rPr>
          <w:rFonts w:eastAsiaTheme="minorEastAsia"/>
          <w:color w:val="auto"/>
          <w:sz w:val="24"/>
          <w:highlight w:val="none"/>
        </w:rPr>
        <w:t>份。</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u w:val="single"/>
        </w:rPr>
      </w:pPr>
      <w:r>
        <w:rPr>
          <w:rFonts w:eastAsiaTheme="minorEastAsia"/>
          <w:color w:val="auto"/>
          <w:sz w:val="24"/>
          <w:highlight w:val="none"/>
        </w:rPr>
        <w:t>17.1暂定工程规模及投资估算：</w:t>
      </w:r>
      <w:r>
        <w:rPr>
          <w:rFonts w:hint="eastAsia" w:eastAsiaTheme="minorEastAsia"/>
          <w:color w:val="auto"/>
          <w:sz w:val="24"/>
          <w:highlight w:val="none"/>
          <w:u w:val="single"/>
        </w:rPr>
        <w:t xml:space="preserve">                              </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17.2上款表格中内容均为暂定，以批复文件和实际招标情况为准。</w:t>
      </w:r>
    </w:p>
    <w:p>
      <w:pPr>
        <w:widowControl/>
        <w:jc w:val="left"/>
        <w:rPr>
          <w:rFonts w:eastAsiaTheme="minorEastAsia"/>
          <w:color w:val="auto"/>
          <w:highlight w:val="none"/>
        </w:rPr>
      </w:pPr>
    </w:p>
    <w:p>
      <w:pPr>
        <w:pStyle w:val="3"/>
        <w:spacing w:before="0" w:after="0" w:line="360" w:lineRule="auto"/>
        <w:rPr>
          <w:rFonts w:eastAsiaTheme="minorEastAsia"/>
          <w:color w:val="auto"/>
          <w:szCs w:val="28"/>
          <w:highlight w:val="none"/>
        </w:rPr>
      </w:pPr>
      <w:r>
        <w:rPr>
          <w:rFonts w:eastAsiaTheme="minorEastAsia"/>
          <w:color w:val="auto"/>
          <w:highlight w:val="none"/>
        </w:rPr>
        <w:br w:type="page"/>
      </w:r>
      <w:bookmarkStart w:id="245" w:name="_Toc24668"/>
      <w:bookmarkStart w:id="246" w:name="_Toc27378"/>
      <w:bookmarkStart w:id="247" w:name="_Toc461525321"/>
      <w:bookmarkStart w:id="248" w:name="_Toc15172"/>
      <w:bookmarkStart w:id="249" w:name="_Toc29471"/>
      <w:bookmarkStart w:id="250" w:name="_Toc26692"/>
      <w:bookmarkStart w:id="251" w:name="_Toc16386"/>
      <w:bookmarkStart w:id="252" w:name="_Toc23661"/>
      <w:bookmarkStart w:id="253" w:name="_Toc32280"/>
      <w:bookmarkStart w:id="254" w:name="_Toc6779"/>
      <w:bookmarkStart w:id="255" w:name="_Toc20710"/>
      <w:bookmarkStart w:id="256" w:name="_Toc1897"/>
      <w:bookmarkStart w:id="257" w:name="_Toc2598"/>
      <w:bookmarkStart w:id="258" w:name="_Toc8451"/>
      <w:r>
        <w:rPr>
          <w:rFonts w:eastAsiaTheme="minorEastAsia"/>
          <w:color w:val="auto"/>
          <w:szCs w:val="28"/>
          <w:highlight w:val="none"/>
        </w:rPr>
        <w:t>第四章比选</w:t>
      </w:r>
      <w:bookmarkEnd w:id="237"/>
      <w:bookmarkEnd w:id="238"/>
      <w:r>
        <w:rPr>
          <w:rFonts w:eastAsiaTheme="minorEastAsia"/>
          <w:color w:val="auto"/>
          <w:szCs w:val="28"/>
          <w:highlight w:val="none"/>
        </w:rPr>
        <w:t>申请文件格式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Start w:id="259" w:name="_Toc114052391"/>
    </w:p>
    <w:p>
      <w:pPr>
        <w:jc w:val="center"/>
        <w:rPr>
          <w:rFonts w:eastAsiaTheme="minorEastAsia"/>
          <w:color w:val="auto"/>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（封面格式）</w:t>
      </w:r>
    </w:p>
    <w:p>
      <w:pPr>
        <w:ind w:right="753"/>
        <w:jc w:val="left"/>
        <w:rPr>
          <w:rFonts w:eastAsiaTheme="minorEastAsia"/>
          <w:color w:val="auto"/>
          <w:sz w:val="28"/>
          <w:szCs w:val="28"/>
          <w:highlight w:val="none"/>
        </w:rPr>
      </w:pPr>
    </w:p>
    <w:p>
      <w:pPr>
        <w:ind w:right="5"/>
        <w:jc w:val="center"/>
        <w:rPr>
          <w:rFonts w:eastAsiaTheme="minorEastAsia"/>
          <w:color w:val="auto"/>
          <w:szCs w:val="28"/>
          <w:highlight w:val="none"/>
        </w:rPr>
      </w:pPr>
      <w:r>
        <w:rPr>
          <w:rFonts w:hint="eastAsia" w:eastAsiaTheme="minorEastAsia"/>
          <w:color w:val="auto"/>
          <w:sz w:val="24"/>
          <w:highlight w:val="none"/>
          <w:u w:val="single"/>
        </w:rPr>
        <w:t>（项目名称）</w:t>
      </w: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center"/>
        <w:rPr>
          <w:rFonts w:eastAsiaTheme="minorEastAsia"/>
          <w:color w:val="auto"/>
          <w:sz w:val="32"/>
          <w:szCs w:val="32"/>
          <w:highlight w:val="none"/>
        </w:rPr>
      </w:pPr>
      <w:r>
        <w:rPr>
          <w:rFonts w:eastAsiaTheme="minorEastAsia"/>
          <w:color w:val="auto"/>
          <w:sz w:val="32"/>
          <w:szCs w:val="32"/>
          <w:highlight w:val="none"/>
        </w:rPr>
        <w:t>比选申请文件</w:t>
      </w: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比选申</w:t>
      </w:r>
      <w:bookmarkEnd w:id="259"/>
      <w:r>
        <w:rPr>
          <w:rFonts w:eastAsiaTheme="minorEastAsia"/>
          <w:color w:val="auto"/>
          <w:sz w:val="28"/>
          <w:szCs w:val="28"/>
          <w:highlight w:val="none"/>
        </w:rPr>
        <w:t>请</w:t>
      </w:r>
      <w:bookmarkStart w:id="260" w:name="_Toc114052392"/>
      <w:r>
        <w:rPr>
          <w:rFonts w:eastAsiaTheme="minorEastAsia"/>
          <w:color w:val="auto"/>
          <w:sz w:val="28"/>
          <w:szCs w:val="28"/>
          <w:highlight w:val="none"/>
        </w:rPr>
        <w:t>人：</w:t>
      </w:r>
      <w:bookmarkEnd w:id="260"/>
      <w:r>
        <w:rPr>
          <w:rFonts w:eastAsiaTheme="minorEastAsia"/>
          <w:color w:val="auto"/>
          <w:sz w:val="28"/>
          <w:szCs w:val="28"/>
          <w:highlight w:val="none"/>
        </w:rPr>
        <w:t>（公章）</w:t>
      </w:r>
    </w:p>
    <w:p>
      <w:pPr>
        <w:ind w:right="753"/>
        <w:jc w:val="left"/>
        <w:rPr>
          <w:rFonts w:eastAsiaTheme="minorEastAsia"/>
          <w:color w:val="auto"/>
          <w:sz w:val="28"/>
          <w:szCs w:val="28"/>
          <w:highlight w:val="none"/>
        </w:rPr>
      </w:pPr>
      <w:r>
        <w:rPr>
          <w:rFonts w:eastAsiaTheme="minorEastAsia"/>
          <w:color w:val="auto"/>
          <w:sz w:val="28"/>
          <w:szCs w:val="28"/>
          <w:highlight w:val="none"/>
        </w:rPr>
        <w:t>法定代表人或其委托代</w:t>
      </w:r>
      <w:bookmarkStart w:id="261" w:name="_Toc333307122"/>
      <w:r>
        <w:rPr>
          <w:rFonts w:eastAsiaTheme="minorEastAsia"/>
          <w:color w:val="auto"/>
          <w:sz w:val="28"/>
          <w:szCs w:val="28"/>
          <w:highlight w:val="none"/>
        </w:rPr>
        <w:t>理人</w:t>
      </w:r>
      <w:bookmarkEnd w:id="261"/>
      <w:r>
        <w:rPr>
          <w:rFonts w:eastAsiaTheme="minorEastAsia"/>
          <w:color w:val="auto"/>
          <w:sz w:val="28"/>
          <w:szCs w:val="28"/>
          <w:highlight w:val="none"/>
        </w:rPr>
        <w:t>：（签字或盖章）</w:t>
      </w:r>
    </w:p>
    <w:p>
      <w:pPr>
        <w:ind w:right="753"/>
        <w:jc w:val="left"/>
        <w:rPr>
          <w:rFonts w:eastAsiaTheme="minorEastAsia"/>
          <w:color w:val="auto"/>
          <w:sz w:val="28"/>
          <w:szCs w:val="28"/>
          <w:highlight w:val="none"/>
        </w:rPr>
      </w:pPr>
      <w:r>
        <w:rPr>
          <w:rFonts w:eastAsiaTheme="minorEastAsia"/>
          <w:color w:val="auto"/>
          <w:sz w:val="28"/>
          <w:szCs w:val="28"/>
          <w:highlight w:val="none"/>
        </w:rPr>
        <w:t>电话/传真：</w:t>
      </w:r>
    </w:p>
    <w:p>
      <w:pPr>
        <w:ind w:right="753"/>
        <w:jc w:val="left"/>
        <w:rPr>
          <w:rFonts w:eastAsiaTheme="minorEastAsia"/>
          <w:color w:val="auto"/>
          <w:sz w:val="28"/>
          <w:szCs w:val="28"/>
          <w:highlight w:val="none"/>
        </w:rPr>
      </w:pPr>
      <w:r>
        <w:rPr>
          <w:rFonts w:eastAsiaTheme="minorEastAsia"/>
          <w:color w:val="auto"/>
          <w:sz w:val="28"/>
          <w:szCs w:val="28"/>
          <w:highlight w:val="none"/>
        </w:rPr>
        <w:t>地址：</w:t>
      </w:r>
    </w:p>
    <w:p>
      <w:pPr>
        <w:ind w:right="753" w:firstLine="1260" w:firstLineChars="450"/>
        <w:jc w:val="left"/>
        <w:rPr>
          <w:rFonts w:eastAsiaTheme="minorEastAsia"/>
          <w:color w:val="auto"/>
          <w:sz w:val="28"/>
          <w:szCs w:val="28"/>
          <w:highlight w:val="none"/>
        </w:rPr>
      </w:pPr>
      <w:r>
        <w:rPr>
          <w:rFonts w:eastAsiaTheme="minorEastAsia"/>
          <w:color w:val="auto"/>
          <w:sz w:val="28"/>
          <w:szCs w:val="28"/>
          <w:highlight w:val="none"/>
        </w:rPr>
        <w:t>年</w:t>
      </w:r>
      <w:r>
        <w:rPr>
          <w:rFonts w:hint="eastAsia" w:eastAsiaTheme="minorEastAsia"/>
          <w:color w:val="auto"/>
          <w:sz w:val="28"/>
          <w:szCs w:val="28"/>
          <w:highlight w:val="none"/>
        </w:rPr>
        <w:t xml:space="preserve">   </w:t>
      </w:r>
      <w:r>
        <w:rPr>
          <w:rFonts w:eastAsiaTheme="minorEastAsia"/>
          <w:color w:val="auto"/>
          <w:sz w:val="28"/>
          <w:szCs w:val="28"/>
          <w:highlight w:val="none"/>
        </w:rPr>
        <w:t>月</w:t>
      </w:r>
      <w:r>
        <w:rPr>
          <w:rFonts w:hint="eastAsia" w:eastAsiaTheme="minorEastAsia"/>
          <w:color w:val="auto"/>
          <w:sz w:val="28"/>
          <w:szCs w:val="28"/>
          <w:highlight w:val="none"/>
        </w:rPr>
        <w:t xml:space="preserve">   </w:t>
      </w:r>
      <w:r>
        <w:rPr>
          <w:rFonts w:eastAsiaTheme="minorEastAsia"/>
          <w:color w:val="auto"/>
          <w:sz w:val="28"/>
          <w:szCs w:val="28"/>
          <w:highlight w:val="none"/>
        </w:rPr>
        <w:t>日</w:t>
      </w:r>
    </w:p>
    <w:p>
      <w:pPr>
        <w:ind w:right="753" w:firstLine="1260" w:firstLineChars="450"/>
        <w:jc w:val="left"/>
        <w:rPr>
          <w:rFonts w:eastAsiaTheme="minorEastAsia"/>
          <w:color w:val="auto"/>
          <w:sz w:val="28"/>
          <w:szCs w:val="28"/>
          <w:highlight w:val="none"/>
        </w:rPr>
      </w:pPr>
    </w:p>
    <w:p>
      <w:pPr>
        <w:ind w:right="753" w:firstLine="1260" w:firstLineChars="450"/>
        <w:jc w:val="left"/>
        <w:rPr>
          <w:rFonts w:eastAsiaTheme="minorEastAsia"/>
          <w:color w:val="auto"/>
          <w:sz w:val="28"/>
          <w:szCs w:val="28"/>
          <w:highlight w:val="none"/>
        </w:rPr>
      </w:pPr>
    </w:p>
    <w:p>
      <w:pPr>
        <w:widowControl/>
        <w:jc w:val="left"/>
        <w:rPr>
          <w:rFonts w:eastAsiaTheme="minorEastAsia"/>
          <w:color w:val="auto"/>
          <w:highlight w:val="none"/>
        </w:rPr>
      </w:pPr>
      <w:bookmarkStart w:id="262" w:name="_Toc7849"/>
      <w:bookmarkStart w:id="263" w:name="_Toc461525323"/>
      <w:r>
        <w:rPr>
          <w:rFonts w:eastAsiaTheme="minorEastAsia"/>
          <w:color w:val="auto"/>
          <w:highlight w:val="none"/>
        </w:rPr>
        <w:br w:type="page"/>
      </w:r>
    </w:p>
    <w:p>
      <w:pPr>
        <w:pStyle w:val="2"/>
        <w:jc w:val="center"/>
        <w:rPr>
          <w:rFonts w:ascii="Times New Roman" w:hAnsi="Times New Roman" w:eastAsiaTheme="minorEastAsia"/>
          <w:b/>
          <w:color w:val="auto"/>
          <w:highlight w:val="none"/>
        </w:rPr>
      </w:pPr>
      <w:bookmarkStart w:id="264" w:name="_Toc16191"/>
      <w:bookmarkStart w:id="265" w:name="_Toc29495"/>
      <w:bookmarkStart w:id="266" w:name="_Toc7031"/>
      <w:bookmarkStart w:id="267" w:name="_Toc13042"/>
      <w:bookmarkStart w:id="268" w:name="_Toc7514"/>
      <w:bookmarkStart w:id="269" w:name="_Toc24695"/>
      <w:bookmarkStart w:id="270" w:name="_Toc17090"/>
      <w:bookmarkStart w:id="271" w:name="_Toc28967"/>
      <w:bookmarkStart w:id="272" w:name="_Toc32258"/>
      <w:bookmarkStart w:id="273" w:name="_Toc5950"/>
      <w:r>
        <w:rPr>
          <w:rFonts w:ascii="Times New Roman" w:hAnsi="Times New Roman" w:eastAsiaTheme="minorEastAsia"/>
          <w:color w:val="auto"/>
          <w:szCs w:val="28"/>
          <w:highlight w:val="none"/>
        </w:rPr>
        <w:t>一、</w:t>
      </w:r>
      <w:bookmarkEnd w:id="262"/>
      <w:bookmarkEnd w:id="263"/>
      <w:bookmarkEnd w:id="264"/>
      <w:bookmarkEnd w:id="265"/>
      <w:bookmarkEnd w:id="266"/>
      <w:bookmarkEnd w:id="267"/>
      <w:bookmarkEnd w:id="268"/>
      <w:bookmarkEnd w:id="269"/>
      <w:bookmarkEnd w:id="270"/>
      <w:bookmarkEnd w:id="271"/>
      <w:r>
        <w:rPr>
          <w:rFonts w:ascii="Times New Roman" w:hAnsi="Times New Roman" w:eastAsiaTheme="minorEastAsia"/>
          <w:b/>
          <w:color w:val="auto"/>
          <w:highlight w:val="none"/>
        </w:rPr>
        <w:t>报价部分格式</w:t>
      </w:r>
      <w:bookmarkEnd w:id="272"/>
      <w:bookmarkEnd w:id="273"/>
    </w:p>
    <w:p>
      <w:pPr>
        <w:ind w:right="753"/>
        <w:jc w:val="center"/>
        <w:rPr>
          <w:rFonts w:eastAsiaTheme="minorEastAsia"/>
          <w:b/>
          <w:color w:val="auto"/>
          <w:sz w:val="28"/>
          <w:szCs w:val="28"/>
          <w:highlight w:val="none"/>
        </w:rPr>
      </w:pPr>
      <w:r>
        <w:rPr>
          <w:rFonts w:eastAsiaTheme="minorEastAsia"/>
          <w:b/>
          <w:color w:val="auto"/>
          <w:sz w:val="28"/>
          <w:szCs w:val="28"/>
          <w:highlight w:val="none"/>
        </w:rPr>
        <w:t>1、报价表</w:t>
      </w:r>
    </w:p>
    <w:tbl>
      <w:tblPr>
        <w:tblStyle w:val="2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48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工作内容</w:t>
            </w:r>
          </w:p>
        </w:tc>
        <w:tc>
          <w:tcPr>
            <w:tcW w:w="4820" w:type="dxa"/>
            <w:vAlign w:val="center"/>
          </w:tcPr>
          <w:p>
            <w:pPr>
              <w:jc w:val="center"/>
              <w:rPr>
                <w:rFonts w:eastAsiaTheme="minorEastAsia"/>
                <w:color w:val="auto"/>
                <w:sz w:val="24"/>
                <w:highlight w:val="none"/>
              </w:rPr>
            </w:pPr>
            <w:r>
              <w:rPr>
                <w:rFonts w:eastAsiaTheme="minorEastAsia"/>
                <w:color w:val="auto"/>
                <w:sz w:val="24"/>
                <w:highlight w:val="none"/>
              </w:rPr>
              <w:t>报价</w:t>
            </w:r>
          </w:p>
        </w:tc>
        <w:tc>
          <w:tcPr>
            <w:tcW w:w="850" w:type="dxa"/>
          </w:tcPr>
          <w:p>
            <w:pPr>
              <w:jc w:val="center"/>
              <w:rPr>
                <w:rFonts w:eastAsiaTheme="minorEastAsia"/>
                <w:color w:val="auto"/>
                <w:sz w:val="24"/>
                <w:highlight w:val="none"/>
              </w:rPr>
            </w:pPr>
            <w:r>
              <w:rPr>
                <w:rFonts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951" w:type="dxa"/>
            <w:vAlign w:val="center"/>
          </w:tcPr>
          <w:p>
            <w:pPr>
              <w:jc w:val="both"/>
              <w:rPr>
                <w:rFonts w:eastAsiaTheme="minorEastAsia"/>
                <w:b/>
                <w:color w:val="auto"/>
                <w:sz w:val="24"/>
                <w:highlight w:val="none"/>
              </w:rPr>
            </w:pPr>
            <w:r>
              <w:rPr>
                <w:rFonts w:hint="eastAsia" w:eastAsiaTheme="minorEastAsia"/>
                <w:color w:val="auto"/>
                <w:sz w:val="24"/>
                <w:highlight w:val="none"/>
              </w:rPr>
              <w:t>桂林市轨道交通集团有限公司2021年</w:t>
            </w:r>
            <w:r>
              <w:rPr>
                <w:rFonts w:hint="eastAsia" w:eastAsiaTheme="minorEastAsia"/>
                <w:color w:val="auto"/>
                <w:sz w:val="24"/>
                <w:highlight w:val="none"/>
                <w:lang w:eastAsia="zh-CN"/>
              </w:rPr>
              <w:t>第四批</w:t>
            </w:r>
            <w:r>
              <w:rPr>
                <w:rFonts w:hint="eastAsia" w:eastAsiaTheme="minorEastAsia"/>
                <w:color w:val="auto"/>
                <w:sz w:val="24"/>
                <w:highlight w:val="none"/>
              </w:rPr>
              <w:t>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以本项目招标代理合同为准</w:t>
            </w:r>
          </w:p>
        </w:tc>
        <w:tc>
          <w:tcPr>
            <w:tcW w:w="4820" w:type="dxa"/>
            <w:vAlign w:val="center"/>
          </w:tcPr>
          <w:p>
            <w:pPr>
              <w:contextualSpacing/>
              <w:rPr>
                <w:rFonts w:hint="eastAsia" w:eastAsiaTheme="minorEastAsia"/>
                <w:color w:val="auto"/>
                <w:sz w:val="24"/>
                <w:highlight w:val="none"/>
              </w:rPr>
            </w:pPr>
            <w:r>
              <w:rPr>
                <w:rFonts w:hint="eastAsia" w:eastAsiaTheme="minorEastAsia"/>
                <w:color w:val="auto"/>
                <w:sz w:val="24"/>
                <w:highlight w:val="none"/>
              </w:rPr>
              <w:t>招标代理服务费：按计价格[2002]1980号收费标准下浮</w:t>
            </w:r>
            <w:r>
              <w:rPr>
                <w:rFonts w:hint="eastAsia" w:eastAsiaTheme="minorEastAsia"/>
                <w:color w:val="auto"/>
                <w:sz w:val="24"/>
                <w:highlight w:val="none"/>
                <w:u w:val="single"/>
              </w:rPr>
              <w:t xml:space="preserve">    %取费</w:t>
            </w:r>
            <w:r>
              <w:rPr>
                <w:rFonts w:hint="eastAsia" w:eastAsiaTheme="minorEastAsia"/>
                <w:color w:val="auto"/>
                <w:sz w:val="24"/>
                <w:highlight w:val="none"/>
              </w:rPr>
              <w:t>。</w:t>
            </w:r>
          </w:p>
        </w:tc>
        <w:tc>
          <w:tcPr>
            <w:tcW w:w="850" w:type="dxa"/>
          </w:tcPr>
          <w:p>
            <w:pPr>
              <w:rPr>
                <w:rFonts w:eastAsiaTheme="minorEastAsia"/>
                <w:color w:val="auto"/>
                <w:sz w:val="24"/>
                <w:highlight w:val="none"/>
              </w:rPr>
            </w:pPr>
          </w:p>
        </w:tc>
      </w:tr>
    </w:tbl>
    <w:p>
      <w:pPr>
        <w:jc w:val="left"/>
        <w:rPr>
          <w:rFonts w:eastAsiaTheme="minorEastAsia"/>
          <w:color w:val="auto"/>
          <w:sz w:val="24"/>
          <w:highlight w:val="none"/>
        </w:rPr>
      </w:pPr>
      <w:r>
        <w:rPr>
          <w:rFonts w:eastAsiaTheme="minorEastAsia"/>
          <w:color w:val="auto"/>
          <w:sz w:val="24"/>
          <w:highlight w:val="none"/>
        </w:rPr>
        <w:t>注：1.未按照本比选报价表的格式及要求填写比选报价表的，将视为不满足比选文件要求，从而导致该比选申请人竞选无效。</w:t>
      </w:r>
    </w:p>
    <w:p>
      <w:pPr>
        <w:ind w:firstLine="465"/>
        <w:jc w:val="left"/>
        <w:rPr>
          <w:rFonts w:eastAsiaTheme="minorEastAsia"/>
          <w:color w:val="auto"/>
          <w:sz w:val="24"/>
          <w:highlight w:val="none"/>
        </w:rPr>
      </w:pPr>
      <w:r>
        <w:rPr>
          <w:rFonts w:eastAsiaTheme="minorEastAsia"/>
          <w:color w:val="auto"/>
          <w:sz w:val="24"/>
          <w:highlight w:val="none"/>
        </w:rPr>
        <w:t>2.报价数值填报整数，如15%。</w:t>
      </w:r>
    </w:p>
    <w:p>
      <w:pPr>
        <w:ind w:firstLine="465"/>
        <w:jc w:val="left"/>
        <w:rPr>
          <w:rFonts w:eastAsiaTheme="minorEastAsia"/>
          <w:color w:val="auto"/>
          <w:sz w:val="24"/>
          <w:highlight w:val="none"/>
        </w:rPr>
      </w:pPr>
      <w:r>
        <w:rPr>
          <w:rFonts w:hint="eastAsia" w:eastAsiaTheme="minorEastAsia"/>
          <w:color w:val="auto"/>
          <w:sz w:val="24"/>
          <w:highlight w:val="none"/>
        </w:rPr>
        <w:t>3. 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565" w:rightChars="269"/>
        <w:jc w:val="left"/>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比选申请人（公章）：</w:t>
      </w:r>
    </w:p>
    <w:p>
      <w:pPr>
        <w:ind w:left="2100" w:firstLine="420"/>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法定代表人或委托代理人（签字或盖章）：</w:t>
      </w:r>
    </w:p>
    <w:p>
      <w:pPr>
        <w:ind w:left="2100" w:firstLine="420"/>
        <w:rPr>
          <w:rFonts w:eastAsiaTheme="minorEastAsia"/>
          <w:color w:val="auto"/>
          <w:sz w:val="24"/>
          <w:highlight w:val="none"/>
        </w:rPr>
      </w:pPr>
    </w:p>
    <w:p>
      <w:pPr>
        <w:ind w:left="2100" w:firstLine="420"/>
        <w:rPr>
          <w:rFonts w:eastAsiaTheme="minorEastAsia"/>
          <w:color w:val="auto"/>
          <w:sz w:val="24"/>
          <w:highlight w:val="none"/>
        </w:rPr>
      </w:pPr>
      <w:r>
        <w:rPr>
          <w:rFonts w:eastAsiaTheme="minorEastAsia"/>
          <w:color w:val="auto"/>
          <w:sz w:val="24"/>
          <w:highlight w:val="none"/>
        </w:rPr>
        <w:t>日期：</w:t>
      </w:r>
      <w:r>
        <w:rPr>
          <w:rFonts w:hint="eastAsia" w:eastAsiaTheme="minorEastAsia"/>
          <w:color w:val="auto"/>
          <w:sz w:val="24"/>
          <w:highlight w:val="none"/>
          <w:u w:val="single"/>
        </w:rPr>
        <w:t xml:space="preserve">    </w:t>
      </w:r>
      <w:r>
        <w:rPr>
          <w:rFonts w:eastAsiaTheme="minorEastAsia"/>
          <w:color w:val="auto"/>
          <w:sz w:val="24"/>
          <w:highlight w:val="none"/>
        </w:rPr>
        <w:t>年</w:t>
      </w:r>
      <w:r>
        <w:rPr>
          <w:rFonts w:hint="eastAsia" w:eastAsiaTheme="minorEastAsia"/>
          <w:color w:val="auto"/>
          <w:sz w:val="24"/>
          <w:highlight w:val="none"/>
          <w:u w:val="single"/>
        </w:rPr>
        <w:t xml:space="preserve">    </w:t>
      </w:r>
      <w:r>
        <w:rPr>
          <w:rFonts w:eastAsiaTheme="minorEastAsia"/>
          <w:color w:val="auto"/>
          <w:sz w:val="24"/>
          <w:highlight w:val="none"/>
        </w:rPr>
        <w:t>月</w:t>
      </w:r>
      <w:r>
        <w:rPr>
          <w:rFonts w:hint="eastAsia" w:eastAsiaTheme="minorEastAsia"/>
          <w:color w:val="auto"/>
          <w:sz w:val="24"/>
          <w:highlight w:val="none"/>
          <w:u w:val="single"/>
        </w:rPr>
        <w:t xml:space="preserve">    </w:t>
      </w:r>
      <w:r>
        <w:rPr>
          <w:rFonts w:eastAsiaTheme="minorEastAsia"/>
          <w:color w:val="auto"/>
          <w:sz w:val="24"/>
          <w:highlight w:val="none"/>
        </w:rPr>
        <w:t>日</w:t>
      </w:r>
    </w:p>
    <w:p>
      <w:pPr>
        <w:ind w:left="2100" w:firstLine="420"/>
        <w:rPr>
          <w:rFonts w:eastAsiaTheme="minorEastAsia"/>
          <w:color w:val="auto"/>
          <w:sz w:val="24"/>
          <w:highlight w:val="none"/>
        </w:rPr>
      </w:pPr>
    </w:p>
    <w:p>
      <w:pPr>
        <w:widowControl/>
        <w:jc w:val="left"/>
        <w:rPr>
          <w:rFonts w:eastAsiaTheme="minorEastAsia"/>
          <w:color w:val="auto"/>
          <w:kern w:val="0"/>
          <w:sz w:val="28"/>
          <w:szCs w:val="28"/>
          <w:highlight w:val="none"/>
        </w:rPr>
      </w:pPr>
      <w:bookmarkStart w:id="274" w:name="_Toc21144"/>
      <w:bookmarkStart w:id="275" w:name="_Toc31582"/>
      <w:bookmarkStart w:id="276" w:name="_Toc23508"/>
      <w:bookmarkStart w:id="277" w:name="_Toc29536"/>
      <w:bookmarkStart w:id="278" w:name="_Toc32510"/>
      <w:bookmarkStart w:id="279" w:name="_Toc26769"/>
      <w:bookmarkStart w:id="280" w:name="_Toc1986"/>
      <w:bookmarkStart w:id="281" w:name="_Toc31521"/>
      <w:bookmarkStart w:id="282" w:name="_Toc9379"/>
      <w:r>
        <w:rPr>
          <w:rFonts w:eastAsiaTheme="minorEastAsia"/>
          <w:color w:val="auto"/>
          <w:szCs w:val="28"/>
          <w:highlight w:val="none"/>
        </w:rPr>
        <w:br w:type="page"/>
      </w:r>
    </w:p>
    <w:p>
      <w:pPr>
        <w:pStyle w:val="2"/>
        <w:jc w:val="center"/>
        <w:rPr>
          <w:rFonts w:ascii="Times New Roman" w:hAnsi="Times New Roman" w:eastAsiaTheme="minorEastAsia"/>
          <w:b/>
          <w:color w:val="auto"/>
          <w:highlight w:val="none"/>
        </w:rPr>
      </w:pPr>
      <w:bookmarkStart w:id="283" w:name="_Toc8018"/>
      <w:bookmarkStart w:id="284" w:name="_Toc1223"/>
      <w:r>
        <w:rPr>
          <w:rFonts w:hint="eastAsia" w:ascii="Times New Roman" w:hAnsi="Times New Roman" w:eastAsiaTheme="minorEastAsia"/>
          <w:b/>
          <w:color w:val="auto"/>
          <w:szCs w:val="28"/>
          <w:highlight w:val="none"/>
        </w:rPr>
        <w:t>二</w:t>
      </w:r>
      <w:r>
        <w:rPr>
          <w:rFonts w:ascii="Times New Roman" w:hAnsi="Times New Roman" w:eastAsiaTheme="minorEastAsia"/>
          <w:b/>
          <w:color w:val="auto"/>
          <w:highlight w:val="none"/>
        </w:rPr>
        <w:t>、资信部分</w:t>
      </w:r>
      <w:bookmarkEnd w:id="274"/>
      <w:bookmarkEnd w:id="275"/>
      <w:bookmarkEnd w:id="276"/>
      <w:bookmarkEnd w:id="277"/>
      <w:bookmarkEnd w:id="278"/>
      <w:bookmarkEnd w:id="279"/>
      <w:bookmarkEnd w:id="280"/>
      <w:bookmarkEnd w:id="281"/>
      <w:bookmarkEnd w:id="282"/>
      <w:r>
        <w:rPr>
          <w:rFonts w:ascii="Times New Roman" w:hAnsi="Times New Roman" w:eastAsiaTheme="minorEastAsia"/>
          <w:b/>
          <w:color w:val="auto"/>
          <w:highlight w:val="none"/>
        </w:rPr>
        <w:t>格式</w:t>
      </w:r>
      <w:bookmarkEnd w:id="283"/>
      <w:bookmarkEnd w:id="284"/>
    </w:p>
    <w:p>
      <w:pPr>
        <w:jc w:val="center"/>
        <w:rPr>
          <w:rFonts w:eastAsiaTheme="minorEastAsia"/>
          <w:b/>
          <w:color w:val="auto"/>
          <w:sz w:val="28"/>
          <w:szCs w:val="28"/>
          <w:highlight w:val="none"/>
        </w:rPr>
      </w:pPr>
      <w:bookmarkStart w:id="285" w:name="_Toc7527"/>
      <w:bookmarkStart w:id="286" w:name="_Toc10356"/>
      <w:bookmarkStart w:id="287" w:name="_Toc9604"/>
      <w:bookmarkStart w:id="288" w:name="_Toc24439"/>
      <w:bookmarkStart w:id="289" w:name="_Toc32624"/>
      <w:bookmarkStart w:id="290" w:name="_Toc19216"/>
      <w:bookmarkStart w:id="291" w:name="_Toc25382"/>
      <w:bookmarkStart w:id="292" w:name="_Toc6881"/>
      <w:bookmarkStart w:id="293" w:name="_Toc461525332"/>
      <w:bookmarkStart w:id="294" w:name="_Toc6862"/>
      <w:bookmarkStart w:id="295" w:name="_Toc30501"/>
      <w:bookmarkStart w:id="296" w:name="_Toc31867"/>
      <w:bookmarkStart w:id="297" w:name="_Toc19445"/>
      <w:r>
        <w:rPr>
          <w:rFonts w:eastAsiaTheme="minorEastAsia"/>
          <w:b/>
          <w:color w:val="auto"/>
          <w:kern w:val="0"/>
          <w:sz w:val="28"/>
          <w:szCs w:val="28"/>
          <w:highlight w:val="none"/>
        </w:rPr>
        <w:t>1</w:t>
      </w:r>
      <w:bookmarkEnd w:id="285"/>
      <w:bookmarkEnd w:id="286"/>
      <w:bookmarkEnd w:id="287"/>
      <w:bookmarkEnd w:id="288"/>
      <w:bookmarkEnd w:id="289"/>
      <w:bookmarkEnd w:id="290"/>
      <w:bookmarkEnd w:id="291"/>
      <w:bookmarkEnd w:id="292"/>
      <w:r>
        <w:rPr>
          <w:rFonts w:eastAsiaTheme="minorEastAsia"/>
          <w:b/>
          <w:color w:val="auto"/>
          <w:kern w:val="0"/>
          <w:sz w:val="28"/>
          <w:szCs w:val="28"/>
          <w:highlight w:val="none"/>
        </w:rPr>
        <w:t>、</w:t>
      </w:r>
      <w:r>
        <w:rPr>
          <w:rFonts w:eastAsiaTheme="minorEastAsia"/>
          <w:b/>
          <w:color w:val="auto"/>
          <w:sz w:val="28"/>
          <w:szCs w:val="28"/>
          <w:highlight w:val="none"/>
        </w:rPr>
        <w:t>近三年类似项目业绩一览表</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91"/>
        <w:gridCol w:w="2017"/>
        <w:gridCol w:w="244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99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2017" w:type="dxa"/>
            <w:vAlign w:val="center"/>
          </w:tcPr>
          <w:p>
            <w:pPr>
              <w:jc w:val="center"/>
              <w:rPr>
                <w:rFonts w:eastAsiaTheme="minorEastAsia"/>
                <w:color w:val="auto"/>
                <w:sz w:val="24"/>
                <w:highlight w:val="none"/>
              </w:rPr>
            </w:pPr>
            <w:r>
              <w:rPr>
                <w:rFonts w:eastAsiaTheme="minorEastAsia"/>
                <w:color w:val="auto"/>
                <w:sz w:val="24"/>
                <w:highlight w:val="none"/>
              </w:rPr>
              <w:t>委托人名称</w:t>
            </w:r>
          </w:p>
        </w:tc>
        <w:tc>
          <w:tcPr>
            <w:tcW w:w="2447" w:type="dxa"/>
            <w:vAlign w:val="center"/>
          </w:tcPr>
          <w:p>
            <w:pPr>
              <w:jc w:val="center"/>
              <w:rPr>
                <w:rFonts w:eastAsiaTheme="minorEastAsia"/>
                <w:color w:val="auto"/>
                <w:sz w:val="24"/>
                <w:highlight w:val="none"/>
              </w:rPr>
            </w:pPr>
            <w:r>
              <w:rPr>
                <w:rFonts w:eastAsiaTheme="minorEastAsia"/>
                <w:color w:val="auto"/>
                <w:sz w:val="24"/>
                <w:highlight w:val="none"/>
              </w:rPr>
              <w:t>项目承揽时间</w:t>
            </w:r>
          </w:p>
        </w:tc>
        <w:tc>
          <w:tcPr>
            <w:tcW w:w="1653" w:type="dxa"/>
            <w:vAlign w:val="center"/>
          </w:tcPr>
          <w:p>
            <w:pPr>
              <w:pStyle w:val="11"/>
              <w:widowControl w:val="0"/>
              <w:adjustRightInd w:val="0"/>
              <w:snapToGrid w:val="0"/>
              <w:spacing w:line="24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备注（已完成/未完成）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bl>
    <w:p>
      <w:pPr>
        <w:ind w:left="420" w:hanging="420" w:hangingChars="200"/>
        <w:rPr>
          <w:rFonts w:eastAsiaTheme="minorEastAsia"/>
          <w:color w:val="auto"/>
          <w:szCs w:val="21"/>
          <w:highlight w:val="none"/>
        </w:rPr>
      </w:pPr>
      <w:r>
        <w:rPr>
          <w:rFonts w:eastAsiaTheme="minorEastAsia"/>
          <w:color w:val="auto"/>
          <w:szCs w:val="21"/>
          <w:highlight w:val="none"/>
        </w:rPr>
        <w:t>注：</w:t>
      </w:r>
    </w:p>
    <w:p>
      <w:pPr>
        <w:numPr>
          <w:ilvl w:val="0"/>
          <w:numId w:val="1"/>
        </w:numPr>
        <w:adjustRightInd w:val="0"/>
        <w:snapToGrid w:val="0"/>
        <w:spacing w:line="300" w:lineRule="auto"/>
        <w:ind w:left="420" w:hanging="420"/>
        <w:rPr>
          <w:rFonts w:eastAsiaTheme="minorEastAsia"/>
          <w:color w:val="auto"/>
          <w:sz w:val="24"/>
          <w:highlight w:val="none"/>
        </w:rPr>
      </w:pPr>
      <w:r>
        <w:rPr>
          <w:rFonts w:eastAsiaTheme="minorEastAsia"/>
          <w:color w:val="auto"/>
          <w:sz w:val="24"/>
          <w:highlight w:val="none"/>
        </w:rPr>
        <w:t>近三年指</w:t>
      </w:r>
      <w:r>
        <w:rPr>
          <w:rFonts w:hint="eastAsia" w:eastAsiaTheme="minorEastAsia"/>
          <w:color w:val="auto"/>
          <w:sz w:val="24"/>
          <w:highlight w:val="none"/>
        </w:rPr>
        <w:t>201</w:t>
      </w:r>
      <w:r>
        <w:rPr>
          <w:rFonts w:hint="eastAsia" w:eastAsiaTheme="minorEastAsia"/>
          <w:color w:val="auto"/>
          <w:sz w:val="24"/>
          <w:highlight w:val="none"/>
          <w:lang w:val="en-US" w:eastAsia="zh-CN"/>
        </w:rPr>
        <w:t>7</w:t>
      </w:r>
      <w:r>
        <w:rPr>
          <w:rFonts w:hint="eastAsia" w:eastAsiaTheme="minorEastAsia"/>
          <w:color w:val="auto"/>
          <w:sz w:val="24"/>
          <w:highlight w:val="none"/>
        </w:rPr>
        <w:t>年1月1日</w:t>
      </w:r>
      <w:r>
        <w:rPr>
          <w:rFonts w:eastAsiaTheme="minorEastAsia"/>
          <w:color w:val="auto"/>
          <w:sz w:val="24"/>
          <w:highlight w:val="none"/>
        </w:rPr>
        <w:t>至公告发布之日。</w:t>
      </w:r>
    </w:p>
    <w:p>
      <w:pPr>
        <w:numPr>
          <w:ilvl w:val="0"/>
          <w:numId w:val="1"/>
        </w:numPr>
        <w:adjustRightInd w:val="0"/>
        <w:snapToGrid w:val="0"/>
        <w:spacing w:line="300" w:lineRule="auto"/>
        <w:ind w:left="480" w:hanging="480" w:hangingChars="200"/>
        <w:rPr>
          <w:rFonts w:eastAsiaTheme="minorEastAsia"/>
          <w:color w:val="auto"/>
          <w:sz w:val="24"/>
          <w:highlight w:val="none"/>
        </w:rPr>
      </w:pPr>
      <w:r>
        <w:rPr>
          <w:rFonts w:eastAsiaTheme="minorEastAsia"/>
          <w:color w:val="auto"/>
          <w:sz w:val="24"/>
          <w:highlight w:val="none"/>
        </w:rPr>
        <w:t>投标人须随此表附上能明确反映出类似项目定义中的业绩证明材料（招标代理合同或中标通知书或发包人出具的证明材料）。</w:t>
      </w:r>
    </w:p>
    <w:p>
      <w:pPr>
        <w:ind w:firstLine="420"/>
        <w:rPr>
          <w:rFonts w:eastAsiaTheme="minorEastAsia"/>
          <w:color w:val="auto"/>
          <w:sz w:val="24"/>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bookmarkEnd w:id="293"/>
    <w:bookmarkEnd w:id="294"/>
    <w:bookmarkEnd w:id="295"/>
    <w:p>
      <w:pPr>
        <w:pStyle w:val="2"/>
        <w:jc w:val="center"/>
        <w:rPr>
          <w:rFonts w:ascii="Times New Roman" w:hAnsi="Times New Roman" w:eastAsiaTheme="minorEastAsia"/>
          <w:b/>
          <w:color w:val="auto"/>
          <w:highlight w:val="none"/>
        </w:rPr>
      </w:pPr>
      <w:bookmarkStart w:id="298" w:name="_Toc12328"/>
      <w:bookmarkStart w:id="299" w:name="_Toc3178"/>
      <w:r>
        <w:rPr>
          <w:rFonts w:hint="eastAsia" w:ascii="Times New Roman" w:hAnsi="Times New Roman" w:eastAsiaTheme="minorEastAsia"/>
          <w:b/>
          <w:color w:val="auto"/>
          <w:highlight w:val="none"/>
        </w:rPr>
        <w:t>三</w:t>
      </w:r>
      <w:r>
        <w:rPr>
          <w:rFonts w:ascii="Times New Roman" w:hAnsi="Times New Roman" w:eastAsiaTheme="minorEastAsia"/>
          <w:b/>
          <w:color w:val="auto"/>
          <w:highlight w:val="none"/>
        </w:rPr>
        <w:t>、技术部分格式</w:t>
      </w:r>
      <w:bookmarkEnd w:id="298"/>
      <w:bookmarkEnd w:id="299"/>
    </w:p>
    <w:p>
      <w:pPr>
        <w:jc w:val="center"/>
        <w:rPr>
          <w:rFonts w:eastAsiaTheme="minorEastAsia"/>
          <w:b/>
          <w:color w:val="auto"/>
          <w:kern w:val="0"/>
          <w:sz w:val="28"/>
          <w:szCs w:val="28"/>
          <w:highlight w:val="none"/>
        </w:rPr>
      </w:pPr>
      <w:r>
        <w:rPr>
          <w:rFonts w:eastAsiaTheme="minorEastAsia"/>
          <w:b/>
          <w:color w:val="auto"/>
          <w:kern w:val="0"/>
          <w:sz w:val="28"/>
          <w:szCs w:val="28"/>
          <w:highlight w:val="none"/>
        </w:rPr>
        <w:t>服务方案</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建议服务方案</w:t>
      </w:r>
      <w:r>
        <w:rPr>
          <w:rFonts w:eastAsiaTheme="minorEastAsia"/>
          <w:color w:val="auto"/>
          <w:sz w:val="24"/>
          <w:highlight w:val="none"/>
        </w:rPr>
        <w:t>主要从</w:t>
      </w:r>
      <w:r>
        <w:rPr>
          <w:rFonts w:hint="eastAsia" w:eastAsiaTheme="minorEastAsia"/>
          <w:color w:val="auto"/>
          <w:sz w:val="24"/>
          <w:highlight w:val="none"/>
        </w:rPr>
        <w:t>项目人员投入和质量保证、</w:t>
      </w:r>
      <w:r>
        <w:rPr>
          <w:rFonts w:eastAsiaTheme="minorEastAsia"/>
          <w:color w:val="auto"/>
          <w:sz w:val="24"/>
          <w:highlight w:val="none"/>
        </w:rPr>
        <w:t>承揽本项目的优势等方面进行编写。</w:t>
      </w:r>
    </w:p>
    <w:bookmarkEnd w:id="296"/>
    <w:bookmarkEnd w:id="297"/>
    <w:p>
      <w:pPr>
        <w:widowControl/>
        <w:jc w:val="left"/>
        <w:rPr>
          <w:rFonts w:eastAsiaTheme="minorEastAsia"/>
          <w:color w:val="auto"/>
          <w:highlight w:val="none"/>
        </w:rPr>
      </w:pPr>
      <w:r>
        <w:rPr>
          <w:rFonts w:eastAsiaTheme="minorEastAsia"/>
          <w:color w:val="auto"/>
          <w:highlight w:val="none"/>
        </w:rPr>
        <w:br w:type="page"/>
      </w:r>
    </w:p>
    <w:p>
      <w:pPr>
        <w:pStyle w:val="3"/>
        <w:spacing w:before="0" w:after="0" w:line="360" w:lineRule="auto"/>
        <w:rPr>
          <w:rFonts w:eastAsiaTheme="minorEastAsia"/>
          <w:color w:val="auto"/>
          <w:highlight w:val="none"/>
        </w:rPr>
      </w:pPr>
      <w:bookmarkStart w:id="300" w:name="_Toc7434"/>
      <w:bookmarkStart w:id="301" w:name="_Toc505"/>
      <w:r>
        <w:rPr>
          <w:rFonts w:eastAsiaTheme="minorEastAsia"/>
          <w:color w:val="auto"/>
          <w:highlight w:val="none"/>
        </w:rPr>
        <w:t>第五章</w:t>
      </w:r>
      <w:r>
        <w:rPr>
          <w:rFonts w:hint="eastAsia" w:eastAsiaTheme="minorEastAsia"/>
          <w:color w:val="auto"/>
          <w:highlight w:val="none"/>
        </w:rPr>
        <w:t xml:space="preserve">  </w:t>
      </w:r>
      <w:r>
        <w:rPr>
          <w:rFonts w:eastAsiaTheme="minorEastAsia"/>
          <w:color w:val="auto"/>
          <w:highlight w:val="none"/>
        </w:rPr>
        <w:t>评比办法</w:t>
      </w:r>
      <w:bookmarkEnd w:id="300"/>
      <w:bookmarkEnd w:id="301"/>
    </w:p>
    <w:p>
      <w:pPr>
        <w:pStyle w:val="2"/>
        <w:spacing w:before="0" w:after="0" w:line="360" w:lineRule="auto"/>
        <w:rPr>
          <w:rFonts w:ascii="Times New Roman" w:hAnsi="Times New Roman" w:eastAsiaTheme="minorEastAsia"/>
          <w:b/>
          <w:color w:val="auto"/>
          <w:sz w:val="24"/>
          <w:szCs w:val="24"/>
          <w:highlight w:val="none"/>
        </w:rPr>
      </w:pPr>
      <w:bookmarkStart w:id="302" w:name="_Toc16164"/>
      <w:bookmarkStart w:id="303" w:name="_Toc17493"/>
      <w:r>
        <w:rPr>
          <w:rFonts w:ascii="Times New Roman" w:hAnsi="Times New Roman" w:eastAsiaTheme="minorEastAsia"/>
          <w:b/>
          <w:color w:val="auto"/>
          <w:sz w:val="24"/>
          <w:szCs w:val="24"/>
          <w:highlight w:val="none"/>
        </w:rPr>
        <w:t>一、评比方法</w:t>
      </w:r>
      <w:bookmarkEnd w:id="302"/>
      <w:bookmarkEnd w:id="303"/>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本次评比采取</w:t>
      </w:r>
      <w:r>
        <w:rPr>
          <w:rFonts w:hint="eastAsia" w:eastAsiaTheme="minorEastAsia"/>
          <w:color w:val="auto"/>
          <w:sz w:val="24"/>
          <w:highlight w:val="none"/>
          <w:lang w:val="en-US" w:eastAsia="zh-CN"/>
        </w:rPr>
        <w:t>合理低价</w:t>
      </w:r>
      <w:r>
        <w:rPr>
          <w:rFonts w:eastAsiaTheme="minorEastAsia"/>
          <w:color w:val="auto"/>
          <w:sz w:val="24"/>
          <w:highlight w:val="none"/>
        </w:rPr>
        <w:t>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1.评比委员会</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1.1本项目的评比委员会由</w:t>
      </w:r>
      <w:r>
        <w:rPr>
          <w:rFonts w:hint="eastAsia" w:eastAsiaTheme="minorEastAsia"/>
          <w:color w:val="auto"/>
          <w:sz w:val="24"/>
          <w:highlight w:val="none"/>
        </w:rPr>
        <w:t>3</w:t>
      </w:r>
      <w:r>
        <w:rPr>
          <w:rFonts w:eastAsiaTheme="minorEastAsia"/>
          <w:color w:val="auto"/>
          <w:sz w:val="24"/>
          <w:highlight w:val="none"/>
        </w:rPr>
        <w:t>名</w:t>
      </w:r>
      <w:r>
        <w:rPr>
          <w:rFonts w:hint="eastAsia" w:eastAsiaTheme="minorEastAsia"/>
          <w:color w:val="auto"/>
          <w:sz w:val="24"/>
          <w:highlight w:val="none"/>
        </w:rPr>
        <w:t>或以上人员</w:t>
      </w:r>
      <w:r>
        <w:rPr>
          <w:rFonts w:eastAsiaTheme="minorEastAsia"/>
          <w:color w:val="auto"/>
          <w:sz w:val="24"/>
          <w:highlight w:val="none"/>
        </w:rPr>
        <w:t>组成。</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1.2评比委员会成员独立、客观、公正地履行职责，遵守职业道德，对所提出的评比意见承担个人责任；评比委员会成员应对整个评比活动保密。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1.3评比委员会成员不得在比选期间私下接触参加比选的参选人员，不得接受参选人或相关人员的任何馈赠，不得参加参选人以任何形式组织的宴请、娱乐、旅游等活动，不得透露与评比工作有关的内容情况。比选人应当对参选人报送的文件内容保密，比选人及参与者不得泄露。如果参加竞争的参选人试图采用不正当手段对评委施加影响，取消其比选资格。</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1.4严禁任何单位或个人以任何形式操纵、干预评比过程和评比结果。</w:t>
      </w:r>
    </w:p>
    <w:p>
      <w:pPr>
        <w:spacing w:line="360" w:lineRule="auto"/>
        <w:ind w:right="753" w:firstLine="480" w:firstLineChars="200"/>
        <w:jc w:val="left"/>
        <w:rPr>
          <w:rFonts w:eastAsiaTheme="minorEastAsia"/>
          <w:color w:val="auto"/>
          <w:sz w:val="24"/>
          <w:highlight w:val="none"/>
        </w:rPr>
      </w:pPr>
      <w:bookmarkStart w:id="304" w:name="_Toc310318596"/>
      <w:r>
        <w:rPr>
          <w:rFonts w:eastAsiaTheme="minorEastAsia"/>
          <w:color w:val="auto"/>
          <w:sz w:val="24"/>
          <w:highlight w:val="none"/>
        </w:rPr>
        <w:t>2.评比</w:t>
      </w:r>
      <w:bookmarkEnd w:id="304"/>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2.2评比程序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2.2.1比选申请人</w:t>
      </w:r>
      <w:r>
        <w:rPr>
          <w:rFonts w:hint="eastAsia" w:eastAsiaTheme="minorEastAsia"/>
          <w:color w:val="auto"/>
          <w:sz w:val="24"/>
          <w:highlight w:val="none"/>
        </w:rPr>
        <w:t>送达比选申请文件后即可离去</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2.2.2评比委员会确认文件是否</w:t>
      </w:r>
      <w:r>
        <w:rPr>
          <w:rFonts w:hint="eastAsia" w:eastAsiaTheme="minorEastAsia"/>
          <w:color w:val="auto"/>
          <w:sz w:val="24"/>
          <w:highlight w:val="none"/>
        </w:rPr>
        <w:t>按规定</w:t>
      </w:r>
      <w:r>
        <w:rPr>
          <w:rFonts w:eastAsiaTheme="minorEastAsia"/>
          <w:color w:val="auto"/>
          <w:sz w:val="24"/>
          <w:highlight w:val="none"/>
        </w:rPr>
        <w:t>密封</w:t>
      </w:r>
      <w:r>
        <w:rPr>
          <w:rFonts w:hint="eastAsia"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2.2.3评比委员会对比选申请文件进行报价部分、资信</w:t>
      </w:r>
      <w:r>
        <w:rPr>
          <w:rFonts w:hint="eastAsia" w:eastAsiaTheme="minorEastAsia"/>
          <w:color w:val="auto"/>
          <w:sz w:val="24"/>
          <w:highlight w:val="none"/>
        </w:rPr>
        <w:t>部分</w:t>
      </w:r>
      <w:r>
        <w:rPr>
          <w:rFonts w:eastAsiaTheme="minorEastAsia"/>
          <w:color w:val="auto"/>
          <w:sz w:val="24"/>
          <w:highlight w:val="none"/>
        </w:rPr>
        <w:t>和技术部分评审。</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4</w:t>
      </w:r>
      <w:r>
        <w:rPr>
          <w:rFonts w:eastAsiaTheme="minorEastAsia"/>
          <w:color w:val="auto"/>
          <w:sz w:val="24"/>
          <w:highlight w:val="none"/>
        </w:rPr>
        <w:t>评分汇总：报价、资信和技术部分得分即为比选申请人评分综合得分。各项指标的分数计算四舍五入，取小数点后两位。</w:t>
      </w:r>
    </w:p>
    <w:p>
      <w:pPr>
        <w:spacing w:line="360" w:lineRule="auto"/>
        <w:ind w:right="5" w:firstLine="480" w:firstLineChars="200"/>
        <w:jc w:val="left"/>
        <w:rPr>
          <w:rFonts w:hint="eastAsia" w:eastAsiaTheme="minorEastAsia"/>
          <w:color w:val="auto"/>
          <w:sz w:val="24"/>
          <w:highlight w:val="none"/>
          <w:lang w:eastAsia="zh-CN"/>
        </w:rPr>
      </w:pPr>
      <w:r>
        <w:rPr>
          <w:rFonts w:eastAsiaTheme="minorEastAsia"/>
          <w:color w:val="auto"/>
          <w:sz w:val="24"/>
          <w:highlight w:val="none"/>
        </w:rPr>
        <w:t>2.2.</w:t>
      </w:r>
      <w:r>
        <w:rPr>
          <w:rFonts w:hint="eastAsia" w:eastAsiaTheme="minorEastAsia"/>
          <w:color w:val="auto"/>
          <w:sz w:val="24"/>
          <w:highlight w:val="none"/>
        </w:rPr>
        <w:t>5</w:t>
      </w:r>
      <w:r>
        <w:rPr>
          <w:rFonts w:hint="eastAsia" w:eastAsiaTheme="minorEastAsia"/>
          <w:b/>
          <w:bCs/>
          <w:color w:val="auto"/>
          <w:sz w:val="24"/>
          <w:highlight w:val="none"/>
        </w:rPr>
        <w:t>本次比选选择一家采购代理机构，即按评比后</w:t>
      </w:r>
      <w:r>
        <w:rPr>
          <w:rFonts w:hint="eastAsia" w:eastAsiaTheme="minorEastAsia"/>
          <w:b/>
          <w:bCs/>
          <w:color w:val="auto"/>
          <w:sz w:val="24"/>
          <w:highlight w:val="none"/>
          <w:lang w:val="en-US" w:eastAsia="zh-CN"/>
        </w:rPr>
        <w:t>按照投标下浮率</w:t>
      </w:r>
      <w:r>
        <w:rPr>
          <w:rFonts w:hint="eastAsia" w:eastAsiaTheme="minorEastAsia"/>
          <w:b/>
          <w:bCs/>
          <w:color w:val="auto"/>
          <w:sz w:val="24"/>
          <w:highlight w:val="none"/>
        </w:rPr>
        <w:t>由高到低的排列顺序推荐综合得分排名第一的为中标人</w:t>
      </w:r>
      <w:r>
        <w:rPr>
          <w:rFonts w:hint="eastAsia" w:eastAsiaTheme="minorEastAsia"/>
          <w:b/>
          <w:bCs/>
          <w:color w:val="auto"/>
          <w:sz w:val="24"/>
          <w:highlight w:val="none"/>
          <w:lang w:eastAsia="zh-CN"/>
        </w:rPr>
        <w:t>。</w:t>
      </w:r>
    </w:p>
    <w:p>
      <w:pPr>
        <w:spacing w:line="360" w:lineRule="auto"/>
        <w:ind w:right="5" w:firstLine="482" w:firstLineChars="200"/>
        <w:jc w:val="left"/>
        <w:rPr>
          <w:rFonts w:eastAsiaTheme="minorEastAsia"/>
          <w:color w:val="auto"/>
          <w:sz w:val="24"/>
          <w:highlight w:val="none"/>
        </w:rPr>
      </w:pPr>
      <w:r>
        <w:rPr>
          <w:rFonts w:hint="eastAsia"/>
          <w:b/>
          <w:color w:val="auto"/>
          <w:sz w:val="24"/>
          <w:highlight w:val="none"/>
        </w:rPr>
        <w:t>如果有</w:t>
      </w:r>
      <w:r>
        <w:rPr>
          <w:b/>
          <w:color w:val="auto"/>
          <w:sz w:val="24"/>
          <w:highlight w:val="none"/>
        </w:rPr>
        <w:t>2</w:t>
      </w:r>
      <w:r>
        <w:rPr>
          <w:rFonts w:hint="eastAsia"/>
          <w:b/>
          <w:color w:val="auto"/>
          <w:sz w:val="24"/>
          <w:highlight w:val="none"/>
        </w:rPr>
        <w:t>个或</w:t>
      </w:r>
      <w:r>
        <w:rPr>
          <w:b/>
          <w:color w:val="auto"/>
          <w:sz w:val="24"/>
          <w:highlight w:val="none"/>
        </w:rPr>
        <w:t>2</w:t>
      </w:r>
      <w:r>
        <w:rPr>
          <w:rFonts w:hint="eastAsia"/>
          <w:b/>
          <w:color w:val="auto"/>
          <w:sz w:val="24"/>
          <w:highlight w:val="none"/>
        </w:rPr>
        <w:t>个以上的比选申请人</w:t>
      </w:r>
      <w:r>
        <w:rPr>
          <w:rFonts w:hint="eastAsia" w:eastAsiaTheme="minorEastAsia"/>
          <w:b/>
          <w:bCs/>
          <w:color w:val="auto"/>
          <w:sz w:val="24"/>
          <w:highlight w:val="none"/>
          <w:lang w:val="en-US" w:eastAsia="zh-CN"/>
        </w:rPr>
        <w:t>投标下浮率</w:t>
      </w:r>
      <w:r>
        <w:rPr>
          <w:rFonts w:hint="eastAsia"/>
          <w:b/>
          <w:color w:val="auto"/>
          <w:sz w:val="24"/>
          <w:highlight w:val="none"/>
        </w:rPr>
        <w:t>相同，则</w:t>
      </w:r>
      <w:r>
        <w:rPr>
          <w:rFonts w:hint="eastAsia"/>
          <w:b/>
          <w:color w:val="auto"/>
          <w:sz w:val="24"/>
          <w:highlight w:val="none"/>
          <w:lang w:val="en-US" w:eastAsia="zh-CN"/>
        </w:rPr>
        <w:t>业绩</w:t>
      </w:r>
      <w:r>
        <w:rPr>
          <w:rFonts w:hint="eastAsia"/>
          <w:b/>
          <w:color w:val="auto"/>
          <w:sz w:val="24"/>
          <w:highlight w:val="none"/>
        </w:rPr>
        <w:t>较高的排名靠前确定排名顺序</w:t>
      </w:r>
      <w:r>
        <w:rPr>
          <w:rFonts w:eastAsiaTheme="minorEastAsia"/>
          <w:color w:val="auto"/>
          <w:sz w:val="24"/>
          <w:highlight w:val="none"/>
        </w:rPr>
        <w:t>。</w:t>
      </w:r>
    </w:p>
    <w:p>
      <w:pPr>
        <w:spacing w:line="360" w:lineRule="auto"/>
        <w:ind w:right="5" w:firstLine="480" w:firstLineChars="200"/>
        <w:jc w:val="left"/>
        <w:rPr>
          <w:b/>
          <w:color w:val="auto"/>
          <w:sz w:val="24"/>
          <w:highlight w:val="none"/>
        </w:rPr>
      </w:pPr>
      <w:r>
        <w:rPr>
          <w:rFonts w:eastAsiaTheme="minorEastAsia"/>
          <w:color w:val="auto"/>
          <w:sz w:val="24"/>
          <w:highlight w:val="none"/>
        </w:rPr>
        <w:t>2.2.6在评比过程中，评比委员、记录人等有关人员在比选记录表上签字确认</w:t>
      </w:r>
      <w:r>
        <w:rPr>
          <w:rFonts w:hint="eastAsia"/>
          <w:b/>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7</w:t>
      </w:r>
      <w:r>
        <w:rPr>
          <w:rFonts w:eastAsiaTheme="minorEastAsia"/>
          <w:color w:val="auto"/>
          <w:sz w:val="24"/>
          <w:highlight w:val="none"/>
        </w:rPr>
        <w:t>评比结束。</w:t>
      </w:r>
    </w:p>
    <w:p>
      <w:pPr>
        <w:spacing w:line="360" w:lineRule="auto"/>
        <w:ind w:right="753" w:firstLine="480" w:firstLineChars="200"/>
        <w:jc w:val="left"/>
        <w:rPr>
          <w:rFonts w:eastAsiaTheme="minorEastAsia"/>
          <w:color w:val="auto"/>
          <w:sz w:val="24"/>
          <w:highlight w:val="none"/>
        </w:rPr>
      </w:pPr>
      <w:bookmarkStart w:id="305" w:name="_Toc114052375"/>
      <w:bookmarkStart w:id="306" w:name="_Toc286386859"/>
      <w:bookmarkStart w:id="307" w:name="_Toc114052439"/>
      <w:bookmarkStart w:id="308" w:name="_Toc310318597"/>
      <w:r>
        <w:rPr>
          <w:rFonts w:eastAsiaTheme="minorEastAsia"/>
          <w:color w:val="auto"/>
          <w:sz w:val="24"/>
          <w:highlight w:val="none"/>
        </w:rPr>
        <w:t>3.评比</w:t>
      </w:r>
      <w:bookmarkEnd w:id="305"/>
      <w:bookmarkEnd w:id="306"/>
      <w:bookmarkEnd w:id="307"/>
      <w:bookmarkEnd w:id="308"/>
      <w:r>
        <w:rPr>
          <w:rFonts w:eastAsiaTheme="minorEastAsia"/>
          <w:color w:val="auto"/>
          <w:sz w:val="24"/>
          <w:highlight w:val="none"/>
        </w:rPr>
        <w:t>工作相关要求</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3.1本次比选的工作由评比委员会负责。</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3.2在比选申请文件递交截止时间到达时提交比选申请文件的比选申请人少于3家的</w:t>
      </w:r>
      <w:r>
        <w:rPr>
          <w:rFonts w:hint="eastAsia" w:eastAsiaTheme="minorEastAsia"/>
          <w:color w:val="auto"/>
          <w:sz w:val="24"/>
          <w:highlight w:val="none"/>
        </w:rPr>
        <w:t>，则直接进入1家或2家评比。</w:t>
      </w:r>
    </w:p>
    <w:p>
      <w:pPr>
        <w:spacing w:line="360" w:lineRule="auto"/>
        <w:ind w:right="-21" w:firstLine="480" w:firstLineChars="200"/>
        <w:jc w:val="left"/>
        <w:rPr>
          <w:rFonts w:eastAsiaTheme="minorEastAsia"/>
          <w:color w:val="auto"/>
          <w:sz w:val="24"/>
          <w:highlight w:val="none"/>
        </w:rPr>
      </w:pPr>
      <w:r>
        <w:rPr>
          <w:rFonts w:hint="eastAsia" w:eastAsiaTheme="minorEastAsia"/>
          <w:color w:val="auto"/>
          <w:sz w:val="24"/>
          <w:highlight w:val="none"/>
        </w:rPr>
        <w:t xml:space="preserve">3.3 </w:t>
      </w:r>
      <w:r>
        <w:rPr>
          <w:rFonts w:eastAsiaTheme="minorEastAsia"/>
          <w:color w:val="auto"/>
          <w:sz w:val="24"/>
          <w:highlight w:val="none"/>
        </w:rPr>
        <w:t>出现下列特殊情况之一，</w:t>
      </w:r>
      <w:r>
        <w:rPr>
          <w:rFonts w:hint="eastAsia" w:eastAsiaTheme="minorEastAsia"/>
          <w:color w:val="auto"/>
          <w:sz w:val="24"/>
          <w:highlight w:val="none"/>
        </w:rPr>
        <w:t>则本公司将不再组织比选，而更改为直接委托方式：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3.2.1在比选申请文件递交截止时间到达时</w:t>
      </w:r>
      <w:r>
        <w:rPr>
          <w:rFonts w:hint="eastAsia" w:eastAsiaTheme="minorEastAsia"/>
          <w:color w:val="auto"/>
          <w:sz w:val="24"/>
          <w:highlight w:val="none"/>
        </w:rPr>
        <w:t>没有</w:t>
      </w:r>
      <w:r>
        <w:rPr>
          <w:rFonts w:eastAsiaTheme="minorEastAsia"/>
          <w:color w:val="auto"/>
          <w:sz w:val="24"/>
          <w:highlight w:val="none"/>
        </w:rPr>
        <w:t>比选申请人提交比选申请文件的；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3.2.2经评审后，无合格比选申请人的。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4</w:t>
      </w:r>
      <w:r>
        <w:rPr>
          <w:rFonts w:eastAsiaTheme="minorEastAsia"/>
          <w:color w:val="auto"/>
          <w:sz w:val="24"/>
          <w:highlight w:val="none"/>
        </w:rPr>
        <w:t>评比过程的保密性。评比委员会成员、有关工作人员及其他知情人不得透露对比选申请文件的评比和比较、中选候选人的推荐情况以及与比选有关的其他情况。</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5</w:t>
      </w:r>
      <w:r>
        <w:rPr>
          <w:rFonts w:eastAsiaTheme="minorEastAsia"/>
          <w:color w:val="auto"/>
          <w:sz w:val="24"/>
          <w:highlight w:val="none"/>
        </w:rPr>
        <w:t>比选申请人在评比过程中所进行的力图影响评比公正性的活动，可能导致其中选无效。</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比选申请文件的澄清或说明</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.1评比时评比委员会将</w:t>
      </w:r>
      <w:r>
        <w:rPr>
          <w:rFonts w:hint="eastAsia" w:eastAsiaTheme="minorEastAsia"/>
          <w:color w:val="auto"/>
          <w:sz w:val="24"/>
          <w:highlight w:val="none"/>
        </w:rPr>
        <w:t>通过比选申请文件中的联系方式，联系并</w:t>
      </w:r>
      <w:r>
        <w:rPr>
          <w:rFonts w:eastAsiaTheme="minorEastAsia"/>
          <w:color w:val="auto"/>
          <w:sz w:val="24"/>
          <w:highlight w:val="none"/>
        </w:rPr>
        <w:t>要求比选申请人</w:t>
      </w:r>
      <w:r>
        <w:rPr>
          <w:rFonts w:hint="eastAsia" w:eastAsiaTheme="minorEastAsia"/>
          <w:color w:val="auto"/>
          <w:sz w:val="24"/>
          <w:highlight w:val="none"/>
        </w:rPr>
        <w:t>在合理期限内</w:t>
      </w:r>
      <w:r>
        <w:rPr>
          <w:rFonts w:eastAsiaTheme="minorEastAsia"/>
          <w:color w:val="auto"/>
          <w:sz w:val="24"/>
          <w:highlight w:val="none"/>
        </w:rPr>
        <w:t>就其比选申请文件中含义不明确、同类问题表述不一致或有明显文字错误等的内容</w:t>
      </w:r>
      <w:r>
        <w:rPr>
          <w:rFonts w:hint="eastAsia" w:eastAsiaTheme="minorEastAsia"/>
          <w:color w:val="auto"/>
          <w:sz w:val="24"/>
          <w:highlight w:val="none"/>
        </w:rPr>
        <w:t>通过微信或钉钉等线上方式</w:t>
      </w:r>
      <w:r>
        <w:rPr>
          <w:rFonts w:eastAsiaTheme="minorEastAsia"/>
          <w:color w:val="auto"/>
          <w:sz w:val="24"/>
          <w:highlight w:val="none"/>
        </w:rPr>
        <w:t>予以澄清或说明</w:t>
      </w:r>
      <w:r>
        <w:rPr>
          <w:rFonts w:hint="eastAsia" w:eastAsiaTheme="minorEastAsia"/>
          <w:color w:val="auto"/>
          <w:sz w:val="24"/>
          <w:highlight w:val="none"/>
        </w:rPr>
        <w:t>，具体方式由评比委员会和比选申请人代表协商确定</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.2比选申请人</w:t>
      </w:r>
      <w:r>
        <w:rPr>
          <w:rFonts w:hint="eastAsia" w:eastAsiaTheme="minorEastAsia"/>
          <w:color w:val="auto"/>
          <w:sz w:val="24"/>
          <w:highlight w:val="none"/>
        </w:rPr>
        <w:t>通过上述方式澄清或说明后，需以书面形式补充提供</w:t>
      </w:r>
      <w:r>
        <w:rPr>
          <w:rFonts w:eastAsiaTheme="minorEastAsia"/>
          <w:color w:val="auto"/>
          <w:sz w:val="24"/>
          <w:highlight w:val="none"/>
        </w:rPr>
        <w:t>澄清或说明的内容，该澄清或说明函应有比选申请人法定代表人或其委托代理人的签名</w:t>
      </w:r>
      <w:r>
        <w:rPr>
          <w:rFonts w:hint="eastAsia" w:eastAsiaTheme="minorEastAsia"/>
          <w:color w:val="auto"/>
          <w:sz w:val="24"/>
          <w:highlight w:val="none"/>
        </w:rPr>
        <w:t>，可通过邮寄的方式送达比选人</w:t>
      </w:r>
      <w:r>
        <w:rPr>
          <w:rFonts w:eastAsiaTheme="minorEastAsia"/>
          <w:color w:val="auto"/>
          <w:sz w:val="24"/>
          <w:highlight w:val="none"/>
        </w:rPr>
        <w:t>。</w:t>
      </w:r>
      <w:r>
        <w:rPr>
          <w:rFonts w:hint="eastAsia" w:eastAsiaTheme="minorEastAsia"/>
          <w:b/>
          <w:bCs/>
          <w:color w:val="auto"/>
          <w:sz w:val="24"/>
          <w:highlight w:val="none"/>
        </w:rPr>
        <w:t>比选人收齐相关</w:t>
      </w:r>
      <w:r>
        <w:rPr>
          <w:rFonts w:eastAsiaTheme="minorEastAsia"/>
          <w:b/>
          <w:bCs/>
          <w:color w:val="auto"/>
          <w:sz w:val="24"/>
          <w:highlight w:val="none"/>
        </w:rPr>
        <w:t>澄清或说明函</w:t>
      </w:r>
      <w:r>
        <w:rPr>
          <w:rFonts w:hint="eastAsia" w:eastAsiaTheme="minorEastAsia"/>
          <w:b/>
          <w:bCs/>
          <w:color w:val="auto"/>
          <w:sz w:val="24"/>
          <w:highlight w:val="none"/>
        </w:rPr>
        <w:t>后方进行评比结果公示。</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.3比选申请人的澄清或说明函作为比选申请文件的组成部分。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.4比选申请人对比选申请文件的澄清或说明不得超出比选申请文件的范围或改变投标的实质内容。</w:t>
      </w:r>
    </w:p>
    <w:p>
      <w:pPr>
        <w:spacing w:line="360" w:lineRule="auto"/>
        <w:ind w:right="753" w:firstLine="480" w:firstLineChars="200"/>
        <w:jc w:val="left"/>
        <w:rPr>
          <w:rFonts w:eastAsiaTheme="minorEastAsia"/>
          <w:color w:val="auto"/>
          <w:sz w:val="24"/>
          <w:highlight w:val="none"/>
        </w:rPr>
      </w:pPr>
      <w:bookmarkStart w:id="309" w:name="_Toc310318598"/>
      <w:r>
        <w:rPr>
          <w:rFonts w:eastAsiaTheme="minorEastAsia"/>
          <w:color w:val="auto"/>
          <w:sz w:val="24"/>
          <w:highlight w:val="none"/>
        </w:rPr>
        <w:t>4.比选申请文件评比</w:t>
      </w:r>
      <w:bookmarkEnd w:id="309"/>
      <w:r>
        <w:rPr>
          <w:rFonts w:hint="eastAsia" w:eastAsiaTheme="minorEastAsia"/>
          <w:color w:val="auto"/>
          <w:sz w:val="24"/>
          <w:highlight w:val="none"/>
        </w:rPr>
        <w:t>的否决条款</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比选申请人或其比选</w:t>
      </w:r>
      <w:r>
        <w:rPr>
          <w:rFonts w:hint="eastAsia" w:eastAsiaTheme="minorEastAsia"/>
          <w:color w:val="auto"/>
          <w:sz w:val="24"/>
          <w:highlight w:val="none"/>
        </w:rPr>
        <w:t>申请</w:t>
      </w:r>
      <w:r>
        <w:rPr>
          <w:rFonts w:eastAsiaTheme="minorEastAsia"/>
          <w:color w:val="auto"/>
          <w:sz w:val="24"/>
          <w:highlight w:val="none"/>
        </w:rPr>
        <w:t>文件有下列情况之一者，其比选申请文件将视为无效或作</w:t>
      </w:r>
      <w:r>
        <w:rPr>
          <w:rFonts w:hint="eastAsia" w:eastAsiaTheme="minorEastAsia"/>
          <w:color w:val="auto"/>
          <w:sz w:val="24"/>
          <w:highlight w:val="none"/>
        </w:rPr>
        <w:t>否决</w:t>
      </w:r>
      <w:r>
        <w:rPr>
          <w:rFonts w:eastAsiaTheme="minorEastAsia"/>
          <w:color w:val="auto"/>
          <w:sz w:val="24"/>
          <w:highlight w:val="none"/>
        </w:rPr>
        <w:t>处理：</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（1）比选申请文件未按照规定的要求装订、密封和标记的；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2</w:t>
      </w:r>
      <w:r>
        <w:rPr>
          <w:rFonts w:eastAsiaTheme="minorEastAsia"/>
          <w:b/>
          <w:bCs/>
          <w:color w:val="auto"/>
          <w:sz w:val="24"/>
          <w:highlight w:val="none"/>
        </w:rPr>
        <w:t>）</w:t>
      </w:r>
      <w:r>
        <w:rPr>
          <w:rFonts w:hint="eastAsia" w:eastAsiaTheme="minorEastAsia"/>
          <w:b/>
          <w:bCs/>
          <w:color w:val="auto"/>
          <w:sz w:val="24"/>
          <w:highlight w:val="none"/>
        </w:rPr>
        <w:t>比选</w:t>
      </w:r>
      <w:r>
        <w:rPr>
          <w:rFonts w:eastAsiaTheme="minorEastAsia"/>
          <w:b/>
          <w:bCs/>
          <w:color w:val="auto"/>
          <w:sz w:val="24"/>
          <w:highlight w:val="none"/>
        </w:rPr>
        <w:t>须知第11条规定的比选申请文件有关内容未按</w:t>
      </w:r>
      <w:r>
        <w:rPr>
          <w:rFonts w:hint="eastAsia" w:eastAsiaTheme="minorEastAsia"/>
          <w:b/>
          <w:bCs/>
          <w:color w:val="auto"/>
          <w:sz w:val="24"/>
          <w:highlight w:val="none"/>
        </w:rPr>
        <w:t>比选</w:t>
      </w:r>
      <w:r>
        <w:rPr>
          <w:rFonts w:eastAsiaTheme="minorEastAsia"/>
          <w:b/>
          <w:bCs/>
          <w:color w:val="auto"/>
          <w:sz w:val="24"/>
          <w:highlight w:val="none"/>
        </w:rPr>
        <w:t>须知第13条规定加盖比选申请人公章、未经比选申请人法定代表人或其委托代理人签字或盖章的；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3</w:t>
      </w:r>
      <w:r>
        <w:rPr>
          <w:rFonts w:eastAsiaTheme="minorEastAsia"/>
          <w:b/>
          <w:bCs/>
          <w:color w:val="auto"/>
          <w:sz w:val="24"/>
          <w:highlight w:val="none"/>
        </w:rPr>
        <w:t>）逾期</w:t>
      </w:r>
      <w:r>
        <w:rPr>
          <w:rFonts w:hint="eastAsia" w:eastAsiaTheme="minorEastAsia"/>
          <w:b/>
          <w:bCs/>
          <w:color w:val="auto"/>
          <w:sz w:val="24"/>
          <w:highlight w:val="none"/>
        </w:rPr>
        <w:t>送达</w:t>
      </w:r>
      <w:r>
        <w:rPr>
          <w:rFonts w:eastAsiaTheme="minorEastAsia"/>
          <w:b/>
          <w:bCs/>
          <w:color w:val="auto"/>
          <w:sz w:val="24"/>
          <w:highlight w:val="none"/>
        </w:rPr>
        <w:t>比选申请文件的；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4</w:t>
      </w:r>
      <w:r>
        <w:rPr>
          <w:rFonts w:eastAsiaTheme="minorEastAsia"/>
          <w:b/>
          <w:bCs/>
          <w:color w:val="auto"/>
          <w:sz w:val="24"/>
          <w:highlight w:val="none"/>
        </w:rPr>
        <w:t>）比选申请文件内容不真实的；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5</w:t>
      </w:r>
      <w:r>
        <w:rPr>
          <w:rFonts w:eastAsiaTheme="minorEastAsia"/>
          <w:b/>
          <w:bCs/>
          <w:color w:val="auto"/>
          <w:sz w:val="24"/>
          <w:highlight w:val="none"/>
        </w:rPr>
        <w:t>）比选申请文件实质上没有响应比选文件的要求的；（包括以下内容：比选项目所涉及的资格要求、价格、服务内容、合同条款等）；</w:t>
      </w:r>
    </w:p>
    <w:p>
      <w:pPr>
        <w:spacing w:line="360" w:lineRule="auto"/>
        <w:ind w:right="-21" w:firstLine="482" w:firstLineChars="200"/>
        <w:jc w:val="left"/>
        <w:rPr>
          <w:rFonts w:eastAsiaTheme="minorEastAsia"/>
          <w:b/>
          <w:bCs/>
          <w:color w:val="auto"/>
          <w:sz w:val="24"/>
          <w:highlight w:val="none"/>
        </w:rPr>
      </w:pPr>
      <w:r>
        <w:rPr>
          <w:rFonts w:hint="eastAsia" w:eastAsiaTheme="minorEastAsia"/>
          <w:b/>
          <w:bCs/>
          <w:color w:val="auto"/>
          <w:sz w:val="24"/>
          <w:highlight w:val="none"/>
        </w:rPr>
        <w:t>（6）</w:t>
      </w:r>
      <w:r>
        <w:rPr>
          <w:rFonts w:eastAsiaTheme="minorEastAsia"/>
          <w:b/>
          <w:bCs/>
          <w:color w:val="auto"/>
          <w:sz w:val="24"/>
          <w:highlight w:val="none"/>
        </w:rPr>
        <w:t>比选申请人不按报价表格式和内容要求报价的；</w:t>
      </w:r>
    </w:p>
    <w:p>
      <w:pPr>
        <w:spacing w:line="360" w:lineRule="auto"/>
        <w:ind w:right="-21" w:firstLine="482" w:firstLineChars="200"/>
        <w:jc w:val="left"/>
        <w:rPr>
          <w:color w:val="auto"/>
          <w:highlight w:val="none"/>
        </w:rPr>
      </w:pPr>
      <w:r>
        <w:rPr>
          <w:rFonts w:eastAsiaTheme="minorEastAsia"/>
          <w:b/>
          <w:bCs/>
          <w:color w:val="auto"/>
          <w:sz w:val="24"/>
          <w:highlight w:val="none"/>
        </w:rPr>
        <w:t>（</w:t>
      </w:r>
      <w:r>
        <w:rPr>
          <w:rFonts w:hint="eastAsia" w:eastAsiaTheme="minorEastAsia"/>
          <w:b/>
          <w:bCs/>
          <w:color w:val="auto"/>
          <w:sz w:val="24"/>
          <w:highlight w:val="none"/>
        </w:rPr>
        <w:t>7</w:t>
      </w:r>
      <w:r>
        <w:rPr>
          <w:rFonts w:eastAsiaTheme="minorEastAsia"/>
          <w:b/>
          <w:bCs/>
          <w:color w:val="auto"/>
          <w:sz w:val="24"/>
          <w:highlight w:val="none"/>
        </w:rPr>
        <w:t>）比选申请人不符合</w:t>
      </w:r>
      <w:r>
        <w:rPr>
          <w:rFonts w:hint="eastAsia" w:eastAsiaTheme="minorEastAsia"/>
          <w:b/>
          <w:bCs/>
          <w:color w:val="auto"/>
          <w:sz w:val="24"/>
          <w:highlight w:val="none"/>
        </w:rPr>
        <w:t>比选须知</w:t>
      </w:r>
      <w:r>
        <w:rPr>
          <w:rFonts w:eastAsiaTheme="minorEastAsia"/>
          <w:b/>
          <w:bCs/>
          <w:color w:val="auto"/>
          <w:sz w:val="24"/>
          <w:highlight w:val="none"/>
        </w:rPr>
        <w:t>前附表第9</w:t>
      </w:r>
      <w:r>
        <w:rPr>
          <w:rFonts w:hint="eastAsia" w:eastAsiaTheme="minorEastAsia"/>
          <w:b/>
          <w:bCs/>
          <w:color w:val="auto"/>
          <w:sz w:val="24"/>
          <w:highlight w:val="none"/>
        </w:rPr>
        <w:t>项</w:t>
      </w:r>
      <w:r>
        <w:rPr>
          <w:rFonts w:eastAsiaTheme="minorEastAsia"/>
          <w:b/>
          <w:bCs/>
          <w:color w:val="auto"/>
          <w:sz w:val="24"/>
          <w:highlight w:val="none"/>
        </w:rPr>
        <w:t>所述资格要求或比选申请人符合前附表第9项所述资格要求但就本比选项目分别提交两个（每个正本一份、副本</w:t>
      </w:r>
      <w:r>
        <w:rPr>
          <w:rFonts w:hint="eastAsia" w:eastAsiaTheme="minorEastAsia"/>
          <w:b/>
          <w:bCs/>
          <w:color w:val="auto"/>
          <w:sz w:val="24"/>
          <w:highlight w:val="none"/>
        </w:rPr>
        <w:t>二</w:t>
      </w:r>
      <w:r>
        <w:rPr>
          <w:rFonts w:eastAsiaTheme="minorEastAsia"/>
          <w:b/>
          <w:bCs/>
          <w:color w:val="auto"/>
          <w:sz w:val="24"/>
          <w:highlight w:val="none"/>
        </w:rPr>
        <w:t>份）及以上的比选申请文件的。</w:t>
      </w: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2"/>
        </w:numPr>
        <w:spacing w:before="0" w:after="0" w:line="360" w:lineRule="auto"/>
        <w:rPr>
          <w:rFonts w:eastAsiaTheme="minorEastAsia"/>
          <w:color w:val="auto"/>
          <w:highlight w:val="none"/>
        </w:rPr>
      </w:pPr>
      <w:r>
        <w:rPr>
          <w:rFonts w:hint="eastAsia" w:eastAsiaTheme="minorEastAsia"/>
          <w:color w:val="auto"/>
          <w:highlight w:val="none"/>
        </w:rPr>
        <w:t xml:space="preserve"> </w:t>
      </w:r>
      <w:bookmarkStart w:id="310" w:name="_Toc5521"/>
      <w:bookmarkStart w:id="311" w:name="_Toc31445"/>
      <w:r>
        <w:rPr>
          <w:rFonts w:hint="eastAsia" w:eastAsiaTheme="minorEastAsia"/>
          <w:color w:val="auto"/>
          <w:highlight w:val="none"/>
        </w:rPr>
        <w:t>附件</w:t>
      </w:r>
      <w:bookmarkEnd w:id="310"/>
      <w:bookmarkEnd w:id="311"/>
    </w:p>
    <w:tbl>
      <w:tblPr>
        <w:tblStyle w:val="2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8"/>
        <w:gridCol w:w="7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序号</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比选</w:t>
            </w:r>
            <w:r>
              <w:rPr>
                <w:rFonts w:hint="eastAsia" w:ascii="宋体" w:hAnsi="宋体" w:cs="宋体"/>
                <w:color w:val="auto"/>
                <w:sz w:val="24"/>
                <w:highlight w:val="none"/>
                <w:shd w:val="clear" w:color="auto" w:fill="FFFFFF"/>
              </w:rPr>
              <w:t>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１</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中化商务有限公司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２</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上海机电设备招标有限公司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３</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中技国际招标有限公司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４</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北京中昌工程咨询有限公司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５</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上海正弘建设工程顾问有限公司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６</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中机国际招标有限公司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７</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建银工程咨询有限责任公司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８</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中招国际招标有限公司</w:t>
            </w:r>
          </w:p>
        </w:tc>
      </w:tr>
    </w:tbl>
    <w:p>
      <w:pPr>
        <w:rPr>
          <w:color w:val="auto"/>
          <w:highlight w:val="none"/>
        </w:rPr>
      </w:pPr>
    </w:p>
    <w:sectPr>
      <w:headerReference r:id="rId5" w:type="default"/>
      <w:footerReference r:id="rId6" w:type="default"/>
      <w:pgSz w:w="11906" w:h="16838"/>
      <w:pgMar w:top="1418" w:right="1418" w:bottom="1134"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0"/>
      </w:rPr>
      <w:pict>
        <v:shape id="文本框5" o:spid="_x0000_s3073" o:spt="202" type="#_x0000_t202" style="position:absolute;left:0pt;margin-top:0pt;height:16.65pt;width:31.6pt;mso-position-horizontal:center;mso-position-horizontal-relative:margin;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WCKwtwEAAFMDAAAOAAAAAAAAAAEAIAAAAB4BAABkcnMvZTJvRG9jLnhtbFBLBQYAAAAABgAGAFkB&#10;AABHBQAAAAA=&#10;">
          <v:path/>
          <v:fill on="f" focussize="0,0"/>
          <v:stroke on="f" joinstyle="miter"/>
          <v:imagedata o:title=""/>
          <o:lock v:ext="edit"/>
          <v:textbox inset="0mm,0mm,0mm,0mm">
            <w:txbxContent>
              <w:p>
                <w:pPr>
                  <w:snapToGrid w:val="0"/>
                  <w:rPr>
                    <w:sz w:val="18"/>
                  </w:rPr>
                </w:pPr>
                <w:r>
                  <w:rPr>
                    <w:rFonts w:hint="eastAsia"/>
                    <w:sz w:val="18"/>
                  </w:rPr>
                  <w:t>第</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w:t>
                </w:r>
                <w:r>
                  <w:rPr>
                    <w:rFonts w:hint="eastAsia"/>
                    <w:sz w:val="18"/>
                    <w:szCs w:val="18"/>
                  </w:rPr>
                  <w:fldChar w:fldCharType="end"/>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2CC3E"/>
    <w:multiLevelType w:val="singleLevel"/>
    <w:tmpl w:val="1782CC3E"/>
    <w:lvl w:ilvl="0" w:tentative="0">
      <w:start w:val="6"/>
      <w:numFmt w:val="chineseCounting"/>
      <w:suff w:val="space"/>
      <w:lvlText w:val="第%1章"/>
      <w:lvlJc w:val="left"/>
      <w:rPr>
        <w:rFonts w:hint="eastAsia"/>
      </w:rPr>
    </w:lvl>
  </w:abstractNum>
  <w:abstractNum w:abstractNumId="1">
    <w:nsid w:val="537D90D0"/>
    <w:multiLevelType w:val="singleLevel"/>
    <w:tmpl w:val="537D90D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B51"/>
    <w:rsid w:val="00003978"/>
    <w:rsid w:val="00004008"/>
    <w:rsid w:val="00004A25"/>
    <w:rsid w:val="00006245"/>
    <w:rsid w:val="00006E49"/>
    <w:rsid w:val="00007092"/>
    <w:rsid w:val="00007885"/>
    <w:rsid w:val="00010DF1"/>
    <w:rsid w:val="00011A3B"/>
    <w:rsid w:val="00011A63"/>
    <w:rsid w:val="000121F0"/>
    <w:rsid w:val="00013074"/>
    <w:rsid w:val="00013699"/>
    <w:rsid w:val="00013C92"/>
    <w:rsid w:val="000152A8"/>
    <w:rsid w:val="000158C4"/>
    <w:rsid w:val="00015B66"/>
    <w:rsid w:val="00015BF7"/>
    <w:rsid w:val="00016D41"/>
    <w:rsid w:val="00016E1C"/>
    <w:rsid w:val="0002218A"/>
    <w:rsid w:val="0002500A"/>
    <w:rsid w:val="00025256"/>
    <w:rsid w:val="00026174"/>
    <w:rsid w:val="0002675F"/>
    <w:rsid w:val="00026FFC"/>
    <w:rsid w:val="000276A2"/>
    <w:rsid w:val="000318D8"/>
    <w:rsid w:val="000415AB"/>
    <w:rsid w:val="00042228"/>
    <w:rsid w:val="00047299"/>
    <w:rsid w:val="000473D4"/>
    <w:rsid w:val="00050E7F"/>
    <w:rsid w:val="00052B63"/>
    <w:rsid w:val="00054F81"/>
    <w:rsid w:val="0005651D"/>
    <w:rsid w:val="00057BDC"/>
    <w:rsid w:val="00062107"/>
    <w:rsid w:val="0006275A"/>
    <w:rsid w:val="00063E9E"/>
    <w:rsid w:val="0007095D"/>
    <w:rsid w:val="000717BB"/>
    <w:rsid w:val="000721B2"/>
    <w:rsid w:val="00072A19"/>
    <w:rsid w:val="00073F12"/>
    <w:rsid w:val="0007429E"/>
    <w:rsid w:val="000743BC"/>
    <w:rsid w:val="00075B44"/>
    <w:rsid w:val="0007683C"/>
    <w:rsid w:val="00076DF2"/>
    <w:rsid w:val="000804F1"/>
    <w:rsid w:val="00082D8B"/>
    <w:rsid w:val="00083897"/>
    <w:rsid w:val="000843B4"/>
    <w:rsid w:val="00094668"/>
    <w:rsid w:val="000971C8"/>
    <w:rsid w:val="000A1E43"/>
    <w:rsid w:val="000A4B9C"/>
    <w:rsid w:val="000A6250"/>
    <w:rsid w:val="000B0BA3"/>
    <w:rsid w:val="000B1107"/>
    <w:rsid w:val="000B2862"/>
    <w:rsid w:val="000B3F18"/>
    <w:rsid w:val="000B49FE"/>
    <w:rsid w:val="000B6659"/>
    <w:rsid w:val="000C1740"/>
    <w:rsid w:val="000C3C80"/>
    <w:rsid w:val="000C488A"/>
    <w:rsid w:val="000C4E33"/>
    <w:rsid w:val="000C6946"/>
    <w:rsid w:val="000C69DD"/>
    <w:rsid w:val="000C7E33"/>
    <w:rsid w:val="000C7F8A"/>
    <w:rsid w:val="000D0354"/>
    <w:rsid w:val="000D1D89"/>
    <w:rsid w:val="000D6678"/>
    <w:rsid w:val="000D67D8"/>
    <w:rsid w:val="000D7E70"/>
    <w:rsid w:val="000D7E91"/>
    <w:rsid w:val="000E0C3F"/>
    <w:rsid w:val="000E12B4"/>
    <w:rsid w:val="000E3735"/>
    <w:rsid w:val="000E3A4D"/>
    <w:rsid w:val="000E3EF7"/>
    <w:rsid w:val="000E5816"/>
    <w:rsid w:val="000E59C4"/>
    <w:rsid w:val="000E6869"/>
    <w:rsid w:val="000E688B"/>
    <w:rsid w:val="000E7B6F"/>
    <w:rsid w:val="000E7C77"/>
    <w:rsid w:val="000F032E"/>
    <w:rsid w:val="000F0956"/>
    <w:rsid w:val="000F1C10"/>
    <w:rsid w:val="000F2D03"/>
    <w:rsid w:val="000F36DC"/>
    <w:rsid w:val="000F453A"/>
    <w:rsid w:val="00100558"/>
    <w:rsid w:val="00100DB4"/>
    <w:rsid w:val="001014A5"/>
    <w:rsid w:val="0010328C"/>
    <w:rsid w:val="00104172"/>
    <w:rsid w:val="00104382"/>
    <w:rsid w:val="0010531A"/>
    <w:rsid w:val="001057A0"/>
    <w:rsid w:val="00106513"/>
    <w:rsid w:val="00107C43"/>
    <w:rsid w:val="00111B38"/>
    <w:rsid w:val="00111C5D"/>
    <w:rsid w:val="00111EE3"/>
    <w:rsid w:val="0011368C"/>
    <w:rsid w:val="00113D1D"/>
    <w:rsid w:val="00113EDF"/>
    <w:rsid w:val="001144D2"/>
    <w:rsid w:val="001166A3"/>
    <w:rsid w:val="001202B5"/>
    <w:rsid w:val="001214C3"/>
    <w:rsid w:val="0012392F"/>
    <w:rsid w:val="00124180"/>
    <w:rsid w:val="00124D07"/>
    <w:rsid w:val="001255FC"/>
    <w:rsid w:val="00126543"/>
    <w:rsid w:val="00126ECC"/>
    <w:rsid w:val="00127D4A"/>
    <w:rsid w:val="001330C5"/>
    <w:rsid w:val="0013717F"/>
    <w:rsid w:val="0014338D"/>
    <w:rsid w:val="0014456C"/>
    <w:rsid w:val="001449DE"/>
    <w:rsid w:val="00150488"/>
    <w:rsid w:val="00151838"/>
    <w:rsid w:val="001519AC"/>
    <w:rsid w:val="00153375"/>
    <w:rsid w:val="00153BCB"/>
    <w:rsid w:val="00154126"/>
    <w:rsid w:val="00155A9D"/>
    <w:rsid w:val="00163C35"/>
    <w:rsid w:val="00163E35"/>
    <w:rsid w:val="001662B3"/>
    <w:rsid w:val="001662F2"/>
    <w:rsid w:val="001663DA"/>
    <w:rsid w:val="001666ED"/>
    <w:rsid w:val="00166F9F"/>
    <w:rsid w:val="0016797E"/>
    <w:rsid w:val="00167E02"/>
    <w:rsid w:val="00170EBD"/>
    <w:rsid w:val="001713FC"/>
    <w:rsid w:val="00172A27"/>
    <w:rsid w:val="0017519C"/>
    <w:rsid w:val="00176048"/>
    <w:rsid w:val="00176909"/>
    <w:rsid w:val="00177BAE"/>
    <w:rsid w:val="00182DC8"/>
    <w:rsid w:val="0018713A"/>
    <w:rsid w:val="00191030"/>
    <w:rsid w:val="00192C72"/>
    <w:rsid w:val="001958FA"/>
    <w:rsid w:val="00196765"/>
    <w:rsid w:val="001975ED"/>
    <w:rsid w:val="001A01E7"/>
    <w:rsid w:val="001A3369"/>
    <w:rsid w:val="001A44EF"/>
    <w:rsid w:val="001A7092"/>
    <w:rsid w:val="001A7D81"/>
    <w:rsid w:val="001A7FCC"/>
    <w:rsid w:val="001B00CC"/>
    <w:rsid w:val="001B0A86"/>
    <w:rsid w:val="001B1E35"/>
    <w:rsid w:val="001B1E3E"/>
    <w:rsid w:val="001B331C"/>
    <w:rsid w:val="001B34D4"/>
    <w:rsid w:val="001B398B"/>
    <w:rsid w:val="001B56B7"/>
    <w:rsid w:val="001B7E76"/>
    <w:rsid w:val="001C473E"/>
    <w:rsid w:val="001C499E"/>
    <w:rsid w:val="001C4EF7"/>
    <w:rsid w:val="001C6E95"/>
    <w:rsid w:val="001D1387"/>
    <w:rsid w:val="001D1AEB"/>
    <w:rsid w:val="001D29C6"/>
    <w:rsid w:val="001D3F0A"/>
    <w:rsid w:val="001D54D7"/>
    <w:rsid w:val="001D7F3C"/>
    <w:rsid w:val="001E0165"/>
    <w:rsid w:val="001E086F"/>
    <w:rsid w:val="001E1904"/>
    <w:rsid w:val="001E3135"/>
    <w:rsid w:val="001E3877"/>
    <w:rsid w:val="001E56AB"/>
    <w:rsid w:val="001E6897"/>
    <w:rsid w:val="001E6C48"/>
    <w:rsid w:val="001E6FA6"/>
    <w:rsid w:val="001F35F6"/>
    <w:rsid w:val="001F3870"/>
    <w:rsid w:val="001F4BDB"/>
    <w:rsid w:val="001F5E56"/>
    <w:rsid w:val="001F701C"/>
    <w:rsid w:val="001F754B"/>
    <w:rsid w:val="0020071F"/>
    <w:rsid w:val="00200760"/>
    <w:rsid w:val="00200936"/>
    <w:rsid w:val="002017E5"/>
    <w:rsid w:val="002022FA"/>
    <w:rsid w:val="00203400"/>
    <w:rsid w:val="00203566"/>
    <w:rsid w:val="00204FCF"/>
    <w:rsid w:val="00205A6E"/>
    <w:rsid w:val="002065D6"/>
    <w:rsid w:val="002115C2"/>
    <w:rsid w:val="002134A1"/>
    <w:rsid w:val="0021374F"/>
    <w:rsid w:val="00214983"/>
    <w:rsid w:val="00214BB2"/>
    <w:rsid w:val="00217C6B"/>
    <w:rsid w:val="00217DD1"/>
    <w:rsid w:val="00220C52"/>
    <w:rsid w:val="002230F2"/>
    <w:rsid w:val="00225ADC"/>
    <w:rsid w:val="00225B9E"/>
    <w:rsid w:val="002267BB"/>
    <w:rsid w:val="00227BD1"/>
    <w:rsid w:val="0023123F"/>
    <w:rsid w:val="00235E4C"/>
    <w:rsid w:val="00236A8A"/>
    <w:rsid w:val="0023731D"/>
    <w:rsid w:val="00241BF1"/>
    <w:rsid w:val="002422EC"/>
    <w:rsid w:val="00242EA9"/>
    <w:rsid w:val="002459DE"/>
    <w:rsid w:val="00246DE3"/>
    <w:rsid w:val="002470C0"/>
    <w:rsid w:val="002472A7"/>
    <w:rsid w:val="00247729"/>
    <w:rsid w:val="00250E4E"/>
    <w:rsid w:val="00251A78"/>
    <w:rsid w:val="002528A0"/>
    <w:rsid w:val="002536AF"/>
    <w:rsid w:val="00254C9E"/>
    <w:rsid w:val="00261F13"/>
    <w:rsid w:val="00263316"/>
    <w:rsid w:val="00263451"/>
    <w:rsid w:val="00263723"/>
    <w:rsid w:val="002658DA"/>
    <w:rsid w:val="00265E3F"/>
    <w:rsid w:val="0026672D"/>
    <w:rsid w:val="00270C77"/>
    <w:rsid w:val="00271F3E"/>
    <w:rsid w:val="00273144"/>
    <w:rsid w:val="002742AA"/>
    <w:rsid w:val="00275CC8"/>
    <w:rsid w:val="0027652F"/>
    <w:rsid w:val="00276ECA"/>
    <w:rsid w:val="00282402"/>
    <w:rsid w:val="00282FAF"/>
    <w:rsid w:val="002843C7"/>
    <w:rsid w:val="0029350D"/>
    <w:rsid w:val="00294554"/>
    <w:rsid w:val="00295815"/>
    <w:rsid w:val="0029680C"/>
    <w:rsid w:val="00296D4F"/>
    <w:rsid w:val="002976EB"/>
    <w:rsid w:val="002979D7"/>
    <w:rsid w:val="002A05FA"/>
    <w:rsid w:val="002A0884"/>
    <w:rsid w:val="002A26D4"/>
    <w:rsid w:val="002A2901"/>
    <w:rsid w:val="002A36A6"/>
    <w:rsid w:val="002A5A1A"/>
    <w:rsid w:val="002A5AA8"/>
    <w:rsid w:val="002A5D65"/>
    <w:rsid w:val="002A75C4"/>
    <w:rsid w:val="002A7A98"/>
    <w:rsid w:val="002B193D"/>
    <w:rsid w:val="002B51AA"/>
    <w:rsid w:val="002B5539"/>
    <w:rsid w:val="002B5664"/>
    <w:rsid w:val="002B74C3"/>
    <w:rsid w:val="002C254F"/>
    <w:rsid w:val="002C2CAC"/>
    <w:rsid w:val="002C3F22"/>
    <w:rsid w:val="002C4464"/>
    <w:rsid w:val="002C44B1"/>
    <w:rsid w:val="002C4B45"/>
    <w:rsid w:val="002C5102"/>
    <w:rsid w:val="002C5517"/>
    <w:rsid w:val="002C552D"/>
    <w:rsid w:val="002C57EF"/>
    <w:rsid w:val="002C61BE"/>
    <w:rsid w:val="002C6B71"/>
    <w:rsid w:val="002C7300"/>
    <w:rsid w:val="002D01F7"/>
    <w:rsid w:val="002D06CA"/>
    <w:rsid w:val="002D09F6"/>
    <w:rsid w:val="002D1B18"/>
    <w:rsid w:val="002D2471"/>
    <w:rsid w:val="002D30E5"/>
    <w:rsid w:val="002D5466"/>
    <w:rsid w:val="002D7032"/>
    <w:rsid w:val="002E05BD"/>
    <w:rsid w:val="002E0B24"/>
    <w:rsid w:val="002E0BCC"/>
    <w:rsid w:val="002E10D0"/>
    <w:rsid w:val="002E41B0"/>
    <w:rsid w:val="002E6F61"/>
    <w:rsid w:val="002E7493"/>
    <w:rsid w:val="002F0D57"/>
    <w:rsid w:val="002F1449"/>
    <w:rsid w:val="002F1A91"/>
    <w:rsid w:val="002F2C76"/>
    <w:rsid w:val="002F482F"/>
    <w:rsid w:val="002F4DBA"/>
    <w:rsid w:val="00300C77"/>
    <w:rsid w:val="00301494"/>
    <w:rsid w:val="003020C2"/>
    <w:rsid w:val="003031F8"/>
    <w:rsid w:val="003033FE"/>
    <w:rsid w:val="00304405"/>
    <w:rsid w:val="003049C7"/>
    <w:rsid w:val="00306511"/>
    <w:rsid w:val="003067AD"/>
    <w:rsid w:val="003110D9"/>
    <w:rsid w:val="003117D9"/>
    <w:rsid w:val="00311BC7"/>
    <w:rsid w:val="003139C1"/>
    <w:rsid w:val="0031513B"/>
    <w:rsid w:val="00317FEA"/>
    <w:rsid w:val="003208C7"/>
    <w:rsid w:val="0032184E"/>
    <w:rsid w:val="00325895"/>
    <w:rsid w:val="00326138"/>
    <w:rsid w:val="003309A7"/>
    <w:rsid w:val="00330B76"/>
    <w:rsid w:val="00331802"/>
    <w:rsid w:val="0033408A"/>
    <w:rsid w:val="0033719A"/>
    <w:rsid w:val="00337398"/>
    <w:rsid w:val="00337566"/>
    <w:rsid w:val="0033784C"/>
    <w:rsid w:val="0034058C"/>
    <w:rsid w:val="00341C6C"/>
    <w:rsid w:val="00341DB2"/>
    <w:rsid w:val="00341F37"/>
    <w:rsid w:val="00343658"/>
    <w:rsid w:val="0034408D"/>
    <w:rsid w:val="00344EA4"/>
    <w:rsid w:val="003450D9"/>
    <w:rsid w:val="00345496"/>
    <w:rsid w:val="0034733B"/>
    <w:rsid w:val="003507DE"/>
    <w:rsid w:val="003507ED"/>
    <w:rsid w:val="00352653"/>
    <w:rsid w:val="0035348D"/>
    <w:rsid w:val="00355333"/>
    <w:rsid w:val="00357997"/>
    <w:rsid w:val="00361CCB"/>
    <w:rsid w:val="00362B06"/>
    <w:rsid w:val="003652EC"/>
    <w:rsid w:val="003657B7"/>
    <w:rsid w:val="00365A1A"/>
    <w:rsid w:val="00366652"/>
    <w:rsid w:val="00367F1F"/>
    <w:rsid w:val="003746B0"/>
    <w:rsid w:val="00374814"/>
    <w:rsid w:val="00375D6D"/>
    <w:rsid w:val="00376F95"/>
    <w:rsid w:val="003807E4"/>
    <w:rsid w:val="00380AB7"/>
    <w:rsid w:val="003814ED"/>
    <w:rsid w:val="00381A61"/>
    <w:rsid w:val="00381AB3"/>
    <w:rsid w:val="0038264F"/>
    <w:rsid w:val="003836CA"/>
    <w:rsid w:val="003842F0"/>
    <w:rsid w:val="00384EC6"/>
    <w:rsid w:val="00385132"/>
    <w:rsid w:val="00387605"/>
    <w:rsid w:val="003878E6"/>
    <w:rsid w:val="00387FBC"/>
    <w:rsid w:val="00390262"/>
    <w:rsid w:val="00392166"/>
    <w:rsid w:val="00392A25"/>
    <w:rsid w:val="00393E7F"/>
    <w:rsid w:val="00393FC8"/>
    <w:rsid w:val="003944BB"/>
    <w:rsid w:val="003954D2"/>
    <w:rsid w:val="00397194"/>
    <w:rsid w:val="003A0A56"/>
    <w:rsid w:val="003A3ECF"/>
    <w:rsid w:val="003A4DE9"/>
    <w:rsid w:val="003A5EAE"/>
    <w:rsid w:val="003A6A4D"/>
    <w:rsid w:val="003A6C09"/>
    <w:rsid w:val="003B00AE"/>
    <w:rsid w:val="003B06FF"/>
    <w:rsid w:val="003B2094"/>
    <w:rsid w:val="003B31DD"/>
    <w:rsid w:val="003B4A82"/>
    <w:rsid w:val="003B4E58"/>
    <w:rsid w:val="003B52D4"/>
    <w:rsid w:val="003B6F49"/>
    <w:rsid w:val="003C02CA"/>
    <w:rsid w:val="003C1763"/>
    <w:rsid w:val="003C4311"/>
    <w:rsid w:val="003C6303"/>
    <w:rsid w:val="003C766A"/>
    <w:rsid w:val="003C7F0E"/>
    <w:rsid w:val="003D011C"/>
    <w:rsid w:val="003D24FD"/>
    <w:rsid w:val="003D27B8"/>
    <w:rsid w:val="003D33D6"/>
    <w:rsid w:val="003D3B68"/>
    <w:rsid w:val="003D3CD0"/>
    <w:rsid w:val="003D5D3B"/>
    <w:rsid w:val="003D6E24"/>
    <w:rsid w:val="003E0357"/>
    <w:rsid w:val="003E3503"/>
    <w:rsid w:val="003E3E70"/>
    <w:rsid w:val="003E3E74"/>
    <w:rsid w:val="003E510F"/>
    <w:rsid w:val="003E52EC"/>
    <w:rsid w:val="003E55BC"/>
    <w:rsid w:val="003E6D8E"/>
    <w:rsid w:val="003F1385"/>
    <w:rsid w:val="003F2167"/>
    <w:rsid w:val="003F4527"/>
    <w:rsid w:val="003F52A4"/>
    <w:rsid w:val="003F5852"/>
    <w:rsid w:val="003F5E76"/>
    <w:rsid w:val="003F6C46"/>
    <w:rsid w:val="003F7352"/>
    <w:rsid w:val="004017C8"/>
    <w:rsid w:val="0040307D"/>
    <w:rsid w:val="0040386D"/>
    <w:rsid w:val="00403F1C"/>
    <w:rsid w:val="00410B70"/>
    <w:rsid w:val="00411C93"/>
    <w:rsid w:val="00417A21"/>
    <w:rsid w:val="0042091C"/>
    <w:rsid w:val="004251A5"/>
    <w:rsid w:val="0042526B"/>
    <w:rsid w:val="00430F08"/>
    <w:rsid w:val="00432CDD"/>
    <w:rsid w:val="00435970"/>
    <w:rsid w:val="0043626D"/>
    <w:rsid w:val="00442A07"/>
    <w:rsid w:val="00443937"/>
    <w:rsid w:val="004444FC"/>
    <w:rsid w:val="004476AA"/>
    <w:rsid w:val="0045021E"/>
    <w:rsid w:val="00450ADD"/>
    <w:rsid w:val="00450FEE"/>
    <w:rsid w:val="00452AD2"/>
    <w:rsid w:val="00454FE3"/>
    <w:rsid w:val="0045560B"/>
    <w:rsid w:val="00455AC3"/>
    <w:rsid w:val="004567DF"/>
    <w:rsid w:val="00457035"/>
    <w:rsid w:val="00457730"/>
    <w:rsid w:val="0046006F"/>
    <w:rsid w:val="004606FC"/>
    <w:rsid w:val="00460F9E"/>
    <w:rsid w:val="00460FDC"/>
    <w:rsid w:val="00462355"/>
    <w:rsid w:val="00462B7F"/>
    <w:rsid w:val="004635EE"/>
    <w:rsid w:val="004638BB"/>
    <w:rsid w:val="004651BB"/>
    <w:rsid w:val="0046549A"/>
    <w:rsid w:val="00466945"/>
    <w:rsid w:val="00470282"/>
    <w:rsid w:val="004748BA"/>
    <w:rsid w:val="00474A64"/>
    <w:rsid w:val="00475158"/>
    <w:rsid w:val="004763C9"/>
    <w:rsid w:val="0047642C"/>
    <w:rsid w:val="00476779"/>
    <w:rsid w:val="00481247"/>
    <w:rsid w:val="004820A1"/>
    <w:rsid w:val="004820CB"/>
    <w:rsid w:val="004822D3"/>
    <w:rsid w:val="00482F02"/>
    <w:rsid w:val="00483CBB"/>
    <w:rsid w:val="004868D1"/>
    <w:rsid w:val="00487EC6"/>
    <w:rsid w:val="00490B21"/>
    <w:rsid w:val="00494717"/>
    <w:rsid w:val="004A310F"/>
    <w:rsid w:val="004B331D"/>
    <w:rsid w:val="004B48F1"/>
    <w:rsid w:val="004B494F"/>
    <w:rsid w:val="004B4F24"/>
    <w:rsid w:val="004B5660"/>
    <w:rsid w:val="004B6AC3"/>
    <w:rsid w:val="004B7F0E"/>
    <w:rsid w:val="004C1B04"/>
    <w:rsid w:val="004C5AC1"/>
    <w:rsid w:val="004C6B7A"/>
    <w:rsid w:val="004D14D8"/>
    <w:rsid w:val="004D1C27"/>
    <w:rsid w:val="004D3130"/>
    <w:rsid w:val="004D42A9"/>
    <w:rsid w:val="004D61E1"/>
    <w:rsid w:val="004E1224"/>
    <w:rsid w:val="004E321B"/>
    <w:rsid w:val="004E3306"/>
    <w:rsid w:val="004E3429"/>
    <w:rsid w:val="004E3788"/>
    <w:rsid w:val="004E6550"/>
    <w:rsid w:val="004E6C6E"/>
    <w:rsid w:val="004F08C3"/>
    <w:rsid w:val="004F0CD4"/>
    <w:rsid w:val="004F2427"/>
    <w:rsid w:val="004F2D28"/>
    <w:rsid w:val="004F3BC3"/>
    <w:rsid w:val="004F4C1F"/>
    <w:rsid w:val="004F7CB3"/>
    <w:rsid w:val="00500FEC"/>
    <w:rsid w:val="0050129F"/>
    <w:rsid w:val="00501978"/>
    <w:rsid w:val="00501B51"/>
    <w:rsid w:val="00504C65"/>
    <w:rsid w:val="005065E5"/>
    <w:rsid w:val="00507E0A"/>
    <w:rsid w:val="0051124D"/>
    <w:rsid w:val="00511C42"/>
    <w:rsid w:val="00513E14"/>
    <w:rsid w:val="0051600C"/>
    <w:rsid w:val="00516690"/>
    <w:rsid w:val="00520A84"/>
    <w:rsid w:val="00520B2C"/>
    <w:rsid w:val="00520EF5"/>
    <w:rsid w:val="005215AD"/>
    <w:rsid w:val="00521DA4"/>
    <w:rsid w:val="0052204A"/>
    <w:rsid w:val="0052268A"/>
    <w:rsid w:val="00522E80"/>
    <w:rsid w:val="005233B9"/>
    <w:rsid w:val="00523976"/>
    <w:rsid w:val="00523DB7"/>
    <w:rsid w:val="0052471F"/>
    <w:rsid w:val="00524974"/>
    <w:rsid w:val="00526606"/>
    <w:rsid w:val="0052767A"/>
    <w:rsid w:val="00527B03"/>
    <w:rsid w:val="005312C5"/>
    <w:rsid w:val="00531F8C"/>
    <w:rsid w:val="005328E2"/>
    <w:rsid w:val="00532EFD"/>
    <w:rsid w:val="00533300"/>
    <w:rsid w:val="005333CD"/>
    <w:rsid w:val="0053358D"/>
    <w:rsid w:val="005364BD"/>
    <w:rsid w:val="00536A5A"/>
    <w:rsid w:val="00536E3A"/>
    <w:rsid w:val="005376ED"/>
    <w:rsid w:val="00540ADF"/>
    <w:rsid w:val="00543D84"/>
    <w:rsid w:val="00544847"/>
    <w:rsid w:val="00546937"/>
    <w:rsid w:val="005503C0"/>
    <w:rsid w:val="0055217D"/>
    <w:rsid w:val="00552270"/>
    <w:rsid w:val="005523BE"/>
    <w:rsid w:val="00552E5F"/>
    <w:rsid w:val="005544FD"/>
    <w:rsid w:val="00557E8E"/>
    <w:rsid w:val="005613F7"/>
    <w:rsid w:val="00561FE2"/>
    <w:rsid w:val="005622A4"/>
    <w:rsid w:val="005624E6"/>
    <w:rsid w:val="00562A1B"/>
    <w:rsid w:val="00562ABA"/>
    <w:rsid w:val="00563FB5"/>
    <w:rsid w:val="00565FF0"/>
    <w:rsid w:val="00566670"/>
    <w:rsid w:val="0057008C"/>
    <w:rsid w:val="00572644"/>
    <w:rsid w:val="00573FA2"/>
    <w:rsid w:val="0057676F"/>
    <w:rsid w:val="005802D0"/>
    <w:rsid w:val="00582C9E"/>
    <w:rsid w:val="005835FD"/>
    <w:rsid w:val="00585C0E"/>
    <w:rsid w:val="00586738"/>
    <w:rsid w:val="005875A2"/>
    <w:rsid w:val="00587735"/>
    <w:rsid w:val="00591B2E"/>
    <w:rsid w:val="00593BB5"/>
    <w:rsid w:val="00596B87"/>
    <w:rsid w:val="0059783D"/>
    <w:rsid w:val="005A059C"/>
    <w:rsid w:val="005A0E7A"/>
    <w:rsid w:val="005A1F32"/>
    <w:rsid w:val="005A28C9"/>
    <w:rsid w:val="005A33D0"/>
    <w:rsid w:val="005A3569"/>
    <w:rsid w:val="005A47F9"/>
    <w:rsid w:val="005A5AB5"/>
    <w:rsid w:val="005A619E"/>
    <w:rsid w:val="005A6664"/>
    <w:rsid w:val="005B0AB7"/>
    <w:rsid w:val="005B11E5"/>
    <w:rsid w:val="005B14EB"/>
    <w:rsid w:val="005B14F2"/>
    <w:rsid w:val="005B3263"/>
    <w:rsid w:val="005B32F3"/>
    <w:rsid w:val="005B3BD7"/>
    <w:rsid w:val="005B54F2"/>
    <w:rsid w:val="005B64D9"/>
    <w:rsid w:val="005B6F50"/>
    <w:rsid w:val="005B798C"/>
    <w:rsid w:val="005B7AF7"/>
    <w:rsid w:val="005C0C96"/>
    <w:rsid w:val="005C1BC8"/>
    <w:rsid w:val="005C4241"/>
    <w:rsid w:val="005C5535"/>
    <w:rsid w:val="005C629B"/>
    <w:rsid w:val="005C6D06"/>
    <w:rsid w:val="005C7DD0"/>
    <w:rsid w:val="005D12B6"/>
    <w:rsid w:val="005D4AA7"/>
    <w:rsid w:val="005D67DE"/>
    <w:rsid w:val="005E0625"/>
    <w:rsid w:val="005E181C"/>
    <w:rsid w:val="005E30F0"/>
    <w:rsid w:val="005E3167"/>
    <w:rsid w:val="005E420D"/>
    <w:rsid w:val="005E4417"/>
    <w:rsid w:val="005E470F"/>
    <w:rsid w:val="005E58A7"/>
    <w:rsid w:val="005E7258"/>
    <w:rsid w:val="005F0B89"/>
    <w:rsid w:val="005F0C00"/>
    <w:rsid w:val="005F0CFF"/>
    <w:rsid w:val="005F42B0"/>
    <w:rsid w:val="005F5682"/>
    <w:rsid w:val="005F648A"/>
    <w:rsid w:val="006051E7"/>
    <w:rsid w:val="006059BA"/>
    <w:rsid w:val="00606295"/>
    <w:rsid w:val="006066CA"/>
    <w:rsid w:val="00607C45"/>
    <w:rsid w:val="00612B65"/>
    <w:rsid w:val="00613A72"/>
    <w:rsid w:val="006144E3"/>
    <w:rsid w:val="006175FC"/>
    <w:rsid w:val="00617C40"/>
    <w:rsid w:val="006235ED"/>
    <w:rsid w:val="00624305"/>
    <w:rsid w:val="00624490"/>
    <w:rsid w:val="0063225B"/>
    <w:rsid w:val="0063331F"/>
    <w:rsid w:val="006335CD"/>
    <w:rsid w:val="0063597F"/>
    <w:rsid w:val="00637A2B"/>
    <w:rsid w:val="006400D4"/>
    <w:rsid w:val="00642AF7"/>
    <w:rsid w:val="00642D62"/>
    <w:rsid w:val="00643D34"/>
    <w:rsid w:val="00644AFE"/>
    <w:rsid w:val="006451B2"/>
    <w:rsid w:val="00645680"/>
    <w:rsid w:val="00647E6E"/>
    <w:rsid w:val="00647FE9"/>
    <w:rsid w:val="006503EA"/>
    <w:rsid w:val="00651C7F"/>
    <w:rsid w:val="00651DED"/>
    <w:rsid w:val="00652FD2"/>
    <w:rsid w:val="00654370"/>
    <w:rsid w:val="00654A21"/>
    <w:rsid w:val="00656234"/>
    <w:rsid w:val="00657B19"/>
    <w:rsid w:val="00662D72"/>
    <w:rsid w:val="00662DEB"/>
    <w:rsid w:val="006639E9"/>
    <w:rsid w:val="0066584C"/>
    <w:rsid w:val="00671723"/>
    <w:rsid w:val="006730D5"/>
    <w:rsid w:val="00674162"/>
    <w:rsid w:val="00674283"/>
    <w:rsid w:val="00676A54"/>
    <w:rsid w:val="006773D6"/>
    <w:rsid w:val="00677603"/>
    <w:rsid w:val="006777EA"/>
    <w:rsid w:val="0068193F"/>
    <w:rsid w:val="00681BB8"/>
    <w:rsid w:val="00681C07"/>
    <w:rsid w:val="00681C40"/>
    <w:rsid w:val="00682AF5"/>
    <w:rsid w:val="00685E98"/>
    <w:rsid w:val="0068602D"/>
    <w:rsid w:val="0068796D"/>
    <w:rsid w:val="00690253"/>
    <w:rsid w:val="006907B4"/>
    <w:rsid w:val="00692714"/>
    <w:rsid w:val="006942C0"/>
    <w:rsid w:val="00694527"/>
    <w:rsid w:val="00694561"/>
    <w:rsid w:val="00695DF3"/>
    <w:rsid w:val="00696992"/>
    <w:rsid w:val="0069728A"/>
    <w:rsid w:val="006A0FE4"/>
    <w:rsid w:val="006A6C7D"/>
    <w:rsid w:val="006A6D27"/>
    <w:rsid w:val="006B16DE"/>
    <w:rsid w:val="006B5BE2"/>
    <w:rsid w:val="006B60DA"/>
    <w:rsid w:val="006B6C08"/>
    <w:rsid w:val="006B7746"/>
    <w:rsid w:val="006C09F8"/>
    <w:rsid w:val="006C0E34"/>
    <w:rsid w:val="006C1F4D"/>
    <w:rsid w:val="006D36A8"/>
    <w:rsid w:val="006D38FB"/>
    <w:rsid w:val="006D41DD"/>
    <w:rsid w:val="006D4A24"/>
    <w:rsid w:val="006D61E6"/>
    <w:rsid w:val="006D73F0"/>
    <w:rsid w:val="006E052D"/>
    <w:rsid w:val="006E0ABC"/>
    <w:rsid w:val="006E0D8D"/>
    <w:rsid w:val="006E1592"/>
    <w:rsid w:val="006E2396"/>
    <w:rsid w:val="006E48DB"/>
    <w:rsid w:val="006E55B8"/>
    <w:rsid w:val="006E5E63"/>
    <w:rsid w:val="006E7797"/>
    <w:rsid w:val="006E78D1"/>
    <w:rsid w:val="006F2492"/>
    <w:rsid w:val="006F34D0"/>
    <w:rsid w:val="006F41A5"/>
    <w:rsid w:val="006F4D37"/>
    <w:rsid w:val="006F5482"/>
    <w:rsid w:val="006F642A"/>
    <w:rsid w:val="006F7940"/>
    <w:rsid w:val="00700F73"/>
    <w:rsid w:val="00701580"/>
    <w:rsid w:val="00701CC3"/>
    <w:rsid w:val="00702856"/>
    <w:rsid w:val="00702E3F"/>
    <w:rsid w:val="00703456"/>
    <w:rsid w:val="00703842"/>
    <w:rsid w:val="00704566"/>
    <w:rsid w:val="00706C79"/>
    <w:rsid w:val="007072BF"/>
    <w:rsid w:val="00710093"/>
    <w:rsid w:val="0071383F"/>
    <w:rsid w:val="00713C23"/>
    <w:rsid w:val="00714401"/>
    <w:rsid w:val="00716480"/>
    <w:rsid w:val="007174E0"/>
    <w:rsid w:val="00720816"/>
    <w:rsid w:val="00720B8A"/>
    <w:rsid w:val="007233B8"/>
    <w:rsid w:val="007257AE"/>
    <w:rsid w:val="00727F09"/>
    <w:rsid w:val="00730D40"/>
    <w:rsid w:val="007310C7"/>
    <w:rsid w:val="0073318F"/>
    <w:rsid w:val="007337F6"/>
    <w:rsid w:val="00734513"/>
    <w:rsid w:val="00735747"/>
    <w:rsid w:val="007379A1"/>
    <w:rsid w:val="00741229"/>
    <w:rsid w:val="00742890"/>
    <w:rsid w:val="007432C4"/>
    <w:rsid w:val="00743FDD"/>
    <w:rsid w:val="00744A70"/>
    <w:rsid w:val="0074508E"/>
    <w:rsid w:val="00746681"/>
    <w:rsid w:val="007511BB"/>
    <w:rsid w:val="007536A1"/>
    <w:rsid w:val="00753C29"/>
    <w:rsid w:val="00753FFB"/>
    <w:rsid w:val="00757820"/>
    <w:rsid w:val="00761C4D"/>
    <w:rsid w:val="007620FC"/>
    <w:rsid w:val="00762941"/>
    <w:rsid w:val="00763FEC"/>
    <w:rsid w:val="00764105"/>
    <w:rsid w:val="00764388"/>
    <w:rsid w:val="007655F2"/>
    <w:rsid w:val="00766EE3"/>
    <w:rsid w:val="00770B78"/>
    <w:rsid w:val="007716C9"/>
    <w:rsid w:val="00772492"/>
    <w:rsid w:val="0077288A"/>
    <w:rsid w:val="0077410B"/>
    <w:rsid w:val="00774375"/>
    <w:rsid w:val="00774E51"/>
    <w:rsid w:val="00774E7D"/>
    <w:rsid w:val="0077550F"/>
    <w:rsid w:val="00780E9E"/>
    <w:rsid w:val="007818D3"/>
    <w:rsid w:val="00784805"/>
    <w:rsid w:val="00785936"/>
    <w:rsid w:val="00785FC2"/>
    <w:rsid w:val="00787EDF"/>
    <w:rsid w:val="00787F88"/>
    <w:rsid w:val="00787FA1"/>
    <w:rsid w:val="007939B8"/>
    <w:rsid w:val="0079507B"/>
    <w:rsid w:val="00795C21"/>
    <w:rsid w:val="00796AE4"/>
    <w:rsid w:val="007A1EA6"/>
    <w:rsid w:val="007A6451"/>
    <w:rsid w:val="007A7415"/>
    <w:rsid w:val="007A7416"/>
    <w:rsid w:val="007A7652"/>
    <w:rsid w:val="007B02BE"/>
    <w:rsid w:val="007B0619"/>
    <w:rsid w:val="007B182E"/>
    <w:rsid w:val="007B2684"/>
    <w:rsid w:val="007B73E1"/>
    <w:rsid w:val="007C1F17"/>
    <w:rsid w:val="007C2055"/>
    <w:rsid w:val="007C22C0"/>
    <w:rsid w:val="007C3A5C"/>
    <w:rsid w:val="007C4079"/>
    <w:rsid w:val="007C516C"/>
    <w:rsid w:val="007C5741"/>
    <w:rsid w:val="007D1501"/>
    <w:rsid w:val="007D1932"/>
    <w:rsid w:val="007D32B0"/>
    <w:rsid w:val="007D40B3"/>
    <w:rsid w:val="007D4FFE"/>
    <w:rsid w:val="007D78D0"/>
    <w:rsid w:val="007E115F"/>
    <w:rsid w:val="007E1344"/>
    <w:rsid w:val="007E1350"/>
    <w:rsid w:val="007E1D53"/>
    <w:rsid w:val="007E2480"/>
    <w:rsid w:val="007E252F"/>
    <w:rsid w:val="007E5D66"/>
    <w:rsid w:val="007E6518"/>
    <w:rsid w:val="007E7A17"/>
    <w:rsid w:val="007E7A2B"/>
    <w:rsid w:val="007F2463"/>
    <w:rsid w:val="007F26E2"/>
    <w:rsid w:val="007F4577"/>
    <w:rsid w:val="007F52F8"/>
    <w:rsid w:val="007F6096"/>
    <w:rsid w:val="00806010"/>
    <w:rsid w:val="00806743"/>
    <w:rsid w:val="00811C2D"/>
    <w:rsid w:val="00811D8C"/>
    <w:rsid w:val="00813F0F"/>
    <w:rsid w:val="00817879"/>
    <w:rsid w:val="00820C0E"/>
    <w:rsid w:val="008217C2"/>
    <w:rsid w:val="00821BA4"/>
    <w:rsid w:val="00822C4B"/>
    <w:rsid w:val="00823FD7"/>
    <w:rsid w:val="00824460"/>
    <w:rsid w:val="00825269"/>
    <w:rsid w:val="00826A8D"/>
    <w:rsid w:val="00827179"/>
    <w:rsid w:val="00827A4B"/>
    <w:rsid w:val="00830F61"/>
    <w:rsid w:val="00831C1E"/>
    <w:rsid w:val="008332FB"/>
    <w:rsid w:val="00834BCC"/>
    <w:rsid w:val="008353D7"/>
    <w:rsid w:val="00836174"/>
    <w:rsid w:val="00836556"/>
    <w:rsid w:val="00836871"/>
    <w:rsid w:val="008410F3"/>
    <w:rsid w:val="00841531"/>
    <w:rsid w:val="00842973"/>
    <w:rsid w:val="00844E4D"/>
    <w:rsid w:val="0084528A"/>
    <w:rsid w:val="00845E62"/>
    <w:rsid w:val="00846762"/>
    <w:rsid w:val="00847328"/>
    <w:rsid w:val="008475A0"/>
    <w:rsid w:val="00850667"/>
    <w:rsid w:val="00854C44"/>
    <w:rsid w:val="008559FF"/>
    <w:rsid w:val="008563C0"/>
    <w:rsid w:val="00857F6A"/>
    <w:rsid w:val="00862456"/>
    <w:rsid w:val="00862772"/>
    <w:rsid w:val="0086293C"/>
    <w:rsid w:val="008635F2"/>
    <w:rsid w:val="00864C9D"/>
    <w:rsid w:val="00864F39"/>
    <w:rsid w:val="00867C1C"/>
    <w:rsid w:val="00870E5A"/>
    <w:rsid w:val="00872827"/>
    <w:rsid w:val="00873520"/>
    <w:rsid w:val="008756F9"/>
    <w:rsid w:val="00877566"/>
    <w:rsid w:val="00877E85"/>
    <w:rsid w:val="008805E8"/>
    <w:rsid w:val="00882D83"/>
    <w:rsid w:val="00882F8B"/>
    <w:rsid w:val="00883718"/>
    <w:rsid w:val="00886E35"/>
    <w:rsid w:val="008901FF"/>
    <w:rsid w:val="0089067B"/>
    <w:rsid w:val="00892886"/>
    <w:rsid w:val="00894324"/>
    <w:rsid w:val="008969C1"/>
    <w:rsid w:val="00897DC4"/>
    <w:rsid w:val="008A00FC"/>
    <w:rsid w:val="008A0ABA"/>
    <w:rsid w:val="008A1B59"/>
    <w:rsid w:val="008A2494"/>
    <w:rsid w:val="008A2B13"/>
    <w:rsid w:val="008A372E"/>
    <w:rsid w:val="008A4515"/>
    <w:rsid w:val="008A4698"/>
    <w:rsid w:val="008A7A6C"/>
    <w:rsid w:val="008A7DE9"/>
    <w:rsid w:val="008B0C09"/>
    <w:rsid w:val="008B1E80"/>
    <w:rsid w:val="008B3868"/>
    <w:rsid w:val="008B51AB"/>
    <w:rsid w:val="008C24EB"/>
    <w:rsid w:val="008C2790"/>
    <w:rsid w:val="008C3EDE"/>
    <w:rsid w:val="008C524B"/>
    <w:rsid w:val="008C5A01"/>
    <w:rsid w:val="008D29A5"/>
    <w:rsid w:val="008D2BFB"/>
    <w:rsid w:val="008D373D"/>
    <w:rsid w:val="008D54C1"/>
    <w:rsid w:val="008D656C"/>
    <w:rsid w:val="008D7BB8"/>
    <w:rsid w:val="008E09CE"/>
    <w:rsid w:val="008E09EA"/>
    <w:rsid w:val="008E1705"/>
    <w:rsid w:val="008E3CD8"/>
    <w:rsid w:val="008E436C"/>
    <w:rsid w:val="008E4597"/>
    <w:rsid w:val="008E7D03"/>
    <w:rsid w:val="008F4978"/>
    <w:rsid w:val="008F4B3D"/>
    <w:rsid w:val="008F4C7F"/>
    <w:rsid w:val="008F5F3D"/>
    <w:rsid w:val="008F6C78"/>
    <w:rsid w:val="008F6DDD"/>
    <w:rsid w:val="008F6FE6"/>
    <w:rsid w:val="008F7CE8"/>
    <w:rsid w:val="00900D3F"/>
    <w:rsid w:val="00901FB3"/>
    <w:rsid w:val="00903F1E"/>
    <w:rsid w:val="00905026"/>
    <w:rsid w:val="00905D49"/>
    <w:rsid w:val="009064FF"/>
    <w:rsid w:val="0090660E"/>
    <w:rsid w:val="00907EDD"/>
    <w:rsid w:val="009108C5"/>
    <w:rsid w:val="009110B9"/>
    <w:rsid w:val="00912CDE"/>
    <w:rsid w:val="00913B16"/>
    <w:rsid w:val="0091410D"/>
    <w:rsid w:val="00915BDE"/>
    <w:rsid w:val="009207A2"/>
    <w:rsid w:val="0092097C"/>
    <w:rsid w:val="00920FBE"/>
    <w:rsid w:val="0092185B"/>
    <w:rsid w:val="00922051"/>
    <w:rsid w:val="00923522"/>
    <w:rsid w:val="0092381E"/>
    <w:rsid w:val="00923DEA"/>
    <w:rsid w:val="00925008"/>
    <w:rsid w:val="00925374"/>
    <w:rsid w:val="00925B65"/>
    <w:rsid w:val="0092735A"/>
    <w:rsid w:val="00931680"/>
    <w:rsid w:val="009338E5"/>
    <w:rsid w:val="00936592"/>
    <w:rsid w:val="00937DDE"/>
    <w:rsid w:val="009414D6"/>
    <w:rsid w:val="00942A27"/>
    <w:rsid w:val="00943377"/>
    <w:rsid w:val="00943A1A"/>
    <w:rsid w:val="00943E73"/>
    <w:rsid w:val="0094475E"/>
    <w:rsid w:val="00944F77"/>
    <w:rsid w:val="00947099"/>
    <w:rsid w:val="009472A5"/>
    <w:rsid w:val="00947974"/>
    <w:rsid w:val="00947DD4"/>
    <w:rsid w:val="00951607"/>
    <w:rsid w:val="009534F2"/>
    <w:rsid w:val="00954C30"/>
    <w:rsid w:val="00956A89"/>
    <w:rsid w:val="009576F6"/>
    <w:rsid w:val="00960C58"/>
    <w:rsid w:val="0096122B"/>
    <w:rsid w:val="0096317C"/>
    <w:rsid w:val="0096538C"/>
    <w:rsid w:val="009657E6"/>
    <w:rsid w:val="00965D26"/>
    <w:rsid w:val="009660FE"/>
    <w:rsid w:val="009665A3"/>
    <w:rsid w:val="009666F4"/>
    <w:rsid w:val="00966EC0"/>
    <w:rsid w:val="00967299"/>
    <w:rsid w:val="00967B5B"/>
    <w:rsid w:val="00970B9C"/>
    <w:rsid w:val="00971836"/>
    <w:rsid w:val="00972036"/>
    <w:rsid w:val="00972722"/>
    <w:rsid w:val="00973407"/>
    <w:rsid w:val="00973AC7"/>
    <w:rsid w:val="0097492D"/>
    <w:rsid w:val="00975C9C"/>
    <w:rsid w:val="00981420"/>
    <w:rsid w:val="009822C4"/>
    <w:rsid w:val="00982D4F"/>
    <w:rsid w:val="00984178"/>
    <w:rsid w:val="00984C52"/>
    <w:rsid w:val="00985417"/>
    <w:rsid w:val="009865B1"/>
    <w:rsid w:val="00990889"/>
    <w:rsid w:val="00990997"/>
    <w:rsid w:val="00990E83"/>
    <w:rsid w:val="00991B0C"/>
    <w:rsid w:val="00991BCE"/>
    <w:rsid w:val="00993FC8"/>
    <w:rsid w:val="00996294"/>
    <w:rsid w:val="009A0088"/>
    <w:rsid w:val="009A166A"/>
    <w:rsid w:val="009A1BEB"/>
    <w:rsid w:val="009A1E0A"/>
    <w:rsid w:val="009A287B"/>
    <w:rsid w:val="009A66F0"/>
    <w:rsid w:val="009A7422"/>
    <w:rsid w:val="009B089A"/>
    <w:rsid w:val="009B1BDD"/>
    <w:rsid w:val="009B2C73"/>
    <w:rsid w:val="009B2DEC"/>
    <w:rsid w:val="009B33E9"/>
    <w:rsid w:val="009B528F"/>
    <w:rsid w:val="009B61D6"/>
    <w:rsid w:val="009B6B44"/>
    <w:rsid w:val="009C0879"/>
    <w:rsid w:val="009C186F"/>
    <w:rsid w:val="009C2A59"/>
    <w:rsid w:val="009C2EFC"/>
    <w:rsid w:val="009C2F7C"/>
    <w:rsid w:val="009C39B9"/>
    <w:rsid w:val="009C3A87"/>
    <w:rsid w:val="009C5179"/>
    <w:rsid w:val="009C6B00"/>
    <w:rsid w:val="009C7B2B"/>
    <w:rsid w:val="009D0FD9"/>
    <w:rsid w:val="009D3277"/>
    <w:rsid w:val="009D3BD0"/>
    <w:rsid w:val="009D513C"/>
    <w:rsid w:val="009D737C"/>
    <w:rsid w:val="009E0520"/>
    <w:rsid w:val="009E29E6"/>
    <w:rsid w:val="009E4832"/>
    <w:rsid w:val="009E570F"/>
    <w:rsid w:val="009E5C9F"/>
    <w:rsid w:val="009E6FB5"/>
    <w:rsid w:val="009E77C2"/>
    <w:rsid w:val="009F029C"/>
    <w:rsid w:val="009F03FF"/>
    <w:rsid w:val="009F1510"/>
    <w:rsid w:val="009F1541"/>
    <w:rsid w:val="009F1A57"/>
    <w:rsid w:val="009F34C2"/>
    <w:rsid w:val="009F38E2"/>
    <w:rsid w:val="009F3B21"/>
    <w:rsid w:val="009F40CE"/>
    <w:rsid w:val="009F4345"/>
    <w:rsid w:val="009F4E41"/>
    <w:rsid w:val="009F70AA"/>
    <w:rsid w:val="00A0020F"/>
    <w:rsid w:val="00A0108B"/>
    <w:rsid w:val="00A01CE2"/>
    <w:rsid w:val="00A02ED0"/>
    <w:rsid w:val="00A02F87"/>
    <w:rsid w:val="00A03274"/>
    <w:rsid w:val="00A046F3"/>
    <w:rsid w:val="00A119B9"/>
    <w:rsid w:val="00A1249B"/>
    <w:rsid w:val="00A125BB"/>
    <w:rsid w:val="00A12A60"/>
    <w:rsid w:val="00A15FAA"/>
    <w:rsid w:val="00A1660A"/>
    <w:rsid w:val="00A21227"/>
    <w:rsid w:val="00A21392"/>
    <w:rsid w:val="00A22C8A"/>
    <w:rsid w:val="00A23221"/>
    <w:rsid w:val="00A2358D"/>
    <w:rsid w:val="00A23A13"/>
    <w:rsid w:val="00A252DF"/>
    <w:rsid w:val="00A25741"/>
    <w:rsid w:val="00A26E79"/>
    <w:rsid w:val="00A279EE"/>
    <w:rsid w:val="00A319B9"/>
    <w:rsid w:val="00A31A45"/>
    <w:rsid w:val="00A31DE0"/>
    <w:rsid w:val="00A32508"/>
    <w:rsid w:val="00A329B3"/>
    <w:rsid w:val="00A3568F"/>
    <w:rsid w:val="00A371D0"/>
    <w:rsid w:val="00A377CD"/>
    <w:rsid w:val="00A379BD"/>
    <w:rsid w:val="00A37D27"/>
    <w:rsid w:val="00A45F2F"/>
    <w:rsid w:val="00A46EA5"/>
    <w:rsid w:val="00A479FB"/>
    <w:rsid w:val="00A50170"/>
    <w:rsid w:val="00A50273"/>
    <w:rsid w:val="00A52877"/>
    <w:rsid w:val="00A529D4"/>
    <w:rsid w:val="00A542B1"/>
    <w:rsid w:val="00A561E8"/>
    <w:rsid w:val="00A56732"/>
    <w:rsid w:val="00A56842"/>
    <w:rsid w:val="00A56DC4"/>
    <w:rsid w:val="00A616C5"/>
    <w:rsid w:val="00A61CA3"/>
    <w:rsid w:val="00A63017"/>
    <w:rsid w:val="00A64448"/>
    <w:rsid w:val="00A64DE2"/>
    <w:rsid w:val="00A66170"/>
    <w:rsid w:val="00A66397"/>
    <w:rsid w:val="00A674F2"/>
    <w:rsid w:val="00A70366"/>
    <w:rsid w:val="00A708B0"/>
    <w:rsid w:val="00A71652"/>
    <w:rsid w:val="00A718E4"/>
    <w:rsid w:val="00A73818"/>
    <w:rsid w:val="00A73CA7"/>
    <w:rsid w:val="00A7427D"/>
    <w:rsid w:val="00A74F6E"/>
    <w:rsid w:val="00A75B4C"/>
    <w:rsid w:val="00A76CED"/>
    <w:rsid w:val="00A77660"/>
    <w:rsid w:val="00A80840"/>
    <w:rsid w:val="00A824A8"/>
    <w:rsid w:val="00A8562F"/>
    <w:rsid w:val="00A87EE5"/>
    <w:rsid w:val="00A920A8"/>
    <w:rsid w:val="00A92252"/>
    <w:rsid w:val="00A92837"/>
    <w:rsid w:val="00A930A7"/>
    <w:rsid w:val="00A93494"/>
    <w:rsid w:val="00A9405C"/>
    <w:rsid w:val="00A9418A"/>
    <w:rsid w:val="00A941D2"/>
    <w:rsid w:val="00A953B2"/>
    <w:rsid w:val="00A96F71"/>
    <w:rsid w:val="00AA318E"/>
    <w:rsid w:val="00AA36EB"/>
    <w:rsid w:val="00AA517C"/>
    <w:rsid w:val="00AA523D"/>
    <w:rsid w:val="00AA7338"/>
    <w:rsid w:val="00AA7731"/>
    <w:rsid w:val="00AB0368"/>
    <w:rsid w:val="00AB107D"/>
    <w:rsid w:val="00AB1922"/>
    <w:rsid w:val="00AB24D5"/>
    <w:rsid w:val="00AB265D"/>
    <w:rsid w:val="00AB409A"/>
    <w:rsid w:val="00AB43E0"/>
    <w:rsid w:val="00AB4F6E"/>
    <w:rsid w:val="00AB5A0C"/>
    <w:rsid w:val="00AB5DF9"/>
    <w:rsid w:val="00AB76C0"/>
    <w:rsid w:val="00AB78A7"/>
    <w:rsid w:val="00AC046D"/>
    <w:rsid w:val="00AC1EB9"/>
    <w:rsid w:val="00AC5AED"/>
    <w:rsid w:val="00AC67E2"/>
    <w:rsid w:val="00AC7923"/>
    <w:rsid w:val="00AD1F56"/>
    <w:rsid w:val="00AD3BE5"/>
    <w:rsid w:val="00AD4DAF"/>
    <w:rsid w:val="00AD4DCB"/>
    <w:rsid w:val="00AD5CC4"/>
    <w:rsid w:val="00AD5DDA"/>
    <w:rsid w:val="00AD5F30"/>
    <w:rsid w:val="00AD65BA"/>
    <w:rsid w:val="00AD6ADB"/>
    <w:rsid w:val="00AE0161"/>
    <w:rsid w:val="00AE0419"/>
    <w:rsid w:val="00AE2DAC"/>
    <w:rsid w:val="00AE37CB"/>
    <w:rsid w:val="00AE6F0E"/>
    <w:rsid w:val="00AF0E19"/>
    <w:rsid w:val="00AF0EC6"/>
    <w:rsid w:val="00AF21E7"/>
    <w:rsid w:val="00AF2299"/>
    <w:rsid w:val="00AF33C1"/>
    <w:rsid w:val="00AF3484"/>
    <w:rsid w:val="00AF3DEE"/>
    <w:rsid w:val="00AF421E"/>
    <w:rsid w:val="00AF4972"/>
    <w:rsid w:val="00AF49CD"/>
    <w:rsid w:val="00AF4CA3"/>
    <w:rsid w:val="00AF659C"/>
    <w:rsid w:val="00AF688A"/>
    <w:rsid w:val="00B008BD"/>
    <w:rsid w:val="00B00B67"/>
    <w:rsid w:val="00B00BC1"/>
    <w:rsid w:val="00B0126B"/>
    <w:rsid w:val="00B023E0"/>
    <w:rsid w:val="00B02F0B"/>
    <w:rsid w:val="00B03FD4"/>
    <w:rsid w:val="00B05395"/>
    <w:rsid w:val="00B059A7"/>
    <w:rsid w:val="00B0669A"/>
    <w:rsid w:val="00B07357"/>
    <w:rsid w:val="00B0772F"/>
    <w:rsid w:val="00B10140"/>
    <w:rsid w:val="00B117C6"/>
    <w:rsid w:val="00B12216"/>
    <w:rsid w:val="00B127DC"/>
    <w:rsid w:val="00B133C4"/>
    <w:rsid w:val="00B13DFF"/>
    <w:rsid w:val="00B1458C"/>
    <w:rsid w:val="00B215F9"/>
    <w:rsid w:val="00B21B34"/>
    <w:rsid w:val="00B23644"/>
    <w:rsid w:val="00B25D75"/>
    <w:rsid w:val="00B25DB5"/>
    <w:rsid w:val="00B26CD5"/>
    <w:rsid w:val="00B301AB"/>
    <w:rsid w:val="00B34D7D"/>
    <w:rsid w:val="00B34F16"/>
    <w:rsid w:val="00B3542A"/>
    <w:rsid w:val="00B35D8E"/>
    <w:rsid w:val="00B36DC9"/>
    <w:rsid w:val="00B402E5"/>
    <w:rsid w:val="00B41AEF"/>
    <w:rsid w:val="00B41E48"/>
    <w:rsid w:val="00B4280B"/>
    <w:rsid w:val="00B4564A"/>
    <w:rsid w:val="00B45DA2"/>
    <w:rsid w:val="00B467CB"/>
    <w:rsid w:val="00B478FE"/>
    <w:rsid w:val="00B540C3"/>
    <w:rsid w:val="00B54FAB"/>
    <w:rsid w:val="00B5621D"/>
    <w:rsid w:val="00B62EA7"/>
    <w:rsid w:val="00B636B2"/>
    <w:rsid w:val="00B63F4B"/>
    <w:rsid w:val="00B659FE"/>
    <w:rsid w:val="00B733C2"/>
    <w:rsid w:val="00B738A1"/>
    <w:rsid w:val="00B75321"/>
    <w:rsid w:val="00B75665"/>
    <w:rsid w:val="00B809CD"/>
    <w:rsid w:val="00B80F77"/>
    <w:rsid w:val="00B81962"/>
    <w:rsid w:val="00B81B0F"/>
    <w:rsid w:val="00B826DA"/>
    <w:rsid w:val="00B82881"/>
    <w:rsid w:val="00B82A3E"/>
    <w:rsid w:val="00B83FE9"/>
    <w:rsid w:val="00B84823"/>
    <w:rsid w:val="00B853E5"/>
    <w:rsid w:val="00B856A9"/>
    <w:rsid w:val="00B865F9"/>
    <w:rsid w:val="00B87317"/>
    <w:rsid w:val="00B91279"/>
    <w:rsid w:val="00B91D02"/>
    <w:rsid w:val="00B929C6"/>
    <w:rsid w:val="00B95263"/>
    <w:rsid w:val="00B9534C"/>
    <w:rsid w:val="00B953CB"/>
    <w:rsid w:val="00B96641"/>
    <w:rsid w:val="00B97878"/>
    <w:rsid w:val="00BA2E15"/>
    <w:rsid w:val="00BA38E7"/>
    <w:rsid w:val="00BA4898"/>
    <w:rsid w:val="00BA5D4B"/>
    <w:rsid w:val="00BA5E50"/>
    <w:rsid w:val="00BA6CC9"/>
    <w:rsid w:val="00BA719D"/>
    <w:rsid w:val="00BA7D46"/>
    <w:rsid w:val="00BB090E"/>
    <w:rsid w:val="00BB1AC1"/>
    <w:rsid w:val="00BB20D7"/>
    <w:rsid w:val="00BB78B4"/>
    <w:rsid w:val="00BC1D80"/>
    <w:rsid w:val="00BC1EA5"/>
    <w:rsid w:val="00BC1F5B"/>
    <w:rsid w:val="00BC3915"/>
    <w:rsid w:val="00BC39BA"/>
    <w:rsid w:val="00BC560D"/>
    <w:rsid w:val="00BC5C52"/>
    <w:rsid w:val="00BC6E26"/>
    <w:rsid w:val="00BC72DB"/>
    <w:rsid w:val="00BD02E3"/>
    <w:rsid w:val="00BD076C"/>
    <w:rsid w:val="00BD4268"/>
    <w:rsid w:val="00BD5C71"/>
    <w:rsid w:val="00BD6966"/>
    <w:rsid w:val="00BE0066"/>
    <w:rsid w:val="00BE144B"/>
    <w:rsid w:val="00BE1D21"/>
    <w:rsid w:val="00BE316C"/>
    <w:rsid w:val="00BE4617"/>
    <w:rsid w:val="00BE56E6"/>
    <w:rsid w:val="00BF0B16"/>
    <w:rsid w:val="00BF1068"/>
    <w:rsid w:val="00BF2461"/>
    <w:rsid w:val="00BF27B6"/>
    <w:rsid w:val="00BF4632"/>
    <w:rsid w:val="00BF467A"/>
    <w:rsid w:val="00BF5A24"/>
    <w:rsid w:val="00C00BD1"/>
    <w:rsid w:val="00C00C48"/>
    <w:rsid w:val="00C100E2"/>
    <w:rsid w:val="00C10E75"/>
    <w:rsid w:val="00C119EF"/>
    <w:rsid w:val="00C11DE8"/>
    <w:rsid w:val="00C12947"/>
    <w:rsid w:val="00C135C4"/>
    <w:rsid w:val="00C13A99"/>
    <w:rsid w:val="00C150A0"/>
    <w:rsid w:val="00C1532D"/>
    <w:rsid w:val="00C20E42"/>
    <w:rsid w:val="00C21B8F"/>
    <w:rsid w:val="00C224F7"/>
    <w:rsid w:val="00C22A46"/>
    <w:rsid w:val="00C22F5A"/>
    <w:rsid w:val="00C237AC"/>
    <w:rsid w:val="00C2430B"/>
    <w:rsid w:val="00C26280"/>
    <w:rsid w:val="00C26707"/>
    <w:rsid w:val="00C3009A"/>
    <w:rsid w:val="00C306BF"/>
    <w:rsid w:val="00C34867"/>
    <w:rsid w:val="00C349EA"/>
    <w:rsid w:val="00C34B5A"/>
    <w:rsid w:val="00C358EC"/>
    <w:rsid w:val="00C3671E"/>
    <w:rsid w:val="00C3691B"/>
    <w:rsid w:val="00C410D2"/>
    <w:rsid w:val="00C414F9"/>
    <w:rsid w:val="00C421E1"/>
    <w:rsid w:val="00C42931"/>
    <w:rsid w:val="00C43B58"/>
    <w:rsid w:val="00C442A7"/>
    <w:rsid w:val="00C506B5"/>
    <w:rsid w:val="00C51FBF"/>
    <w:rsid w:val="00C53358"/>
    <w:rsid w:val="00C56208"/>
    <w:rsid w:val="00C61094"/>
    <w:rsid w:val="00C61725"/>
    <w:rsid w:val="00C62EBC"/>
    <w:rsid w:val="00C6389C"/>
    <w:rsid w:val="00C64FE4"/>
    <w:rsid w:val="00C65BF3"/>
    <w:rsid w:val="00C720E1"/>
    <w:rsid w:val="00C73F1F"/>
    <w:rsid w:val="00C74AB8"/>
    <w:rsid w:val="00C75272"/>
    <w:rsid w:val="00C75AF0"/>
    <w:rsid w:val="00C829AF"/>
    <w:rsid w:val="00C8416C"/>
    <w:rsid w:val="00C84694"/>
    <w:rsid w:val="00C852E5"/>
    <w:rsid w:val="00C8578D"/>
    <w:rsid w:val="00C8783B"/>
    <w:rsid w:val="00C8784A"/>
    <w:rsid w:val="00C90686"/>
    <w:rsid w:val="00C907FB"/>
    <w:rsid w:val="00C909E6"/>
    <w:rsid w:val="00C9286F"/>
    <w:rsid w:val="00C93313"/>
    <w:rsid w:val="00C9524B"/>
    <w:rsid w:val="00C964B8"/>
    <w:rsid w:val="00C978E3"/>
    <w:rsid w:val="00C97915"/>
    <w:rsid w:val="00C9798D"/>
    <w:rsid w:val="00C97BCD"/>
    <w:rsid w:val="00CA1ED9"/>
    <w:rsid w:val="00CA3128"/>
    <w:rsid w:val="00CA3EBF"/>
    <w:rsid w:val="00CA73C4"/>
    <w:rsid w:val="00CA75AC"/>
    <w:rsid w:val="00CA7A58"/>
    <w:rsid w:val="00CB0E24"/>
    <w:rsid w:val="00CB1DD2"/>
    <w:rsid w:val="00CB2297"/>
    <w:rsid w:val="00CB2CA6"/>
    <w:rsid w:val="00CB57CE"/>
    <w:rsid w:val="00CB6194"/>
    <w:rsid w:val="00CB737A"/>
    <w:rsid w:val="00CC2381"/>
    <w:rsid w:val="00CC3070"/>
    <w:rsid w:val="00CC3622"/>
    <w:rsid w:val="00CC601D"/>
    <w:rsid w:val="00CC6107"/>
    <w:rsid w:val="00CC67A0"/>
    <w:rsid w:val="00CC7146"/>
    <w:rsid w:val="00CC718D"/>
    <w:rsid w:val="00CD3332"/>
    <w:rsid w:val="00CD5E31"/>
    <w:rsid w:val="00CD71E8"/>
    <w:rsid w:val="00CE0A32"/>
    <w:rsid w:val="00CE1850"/>
    <w:rsid w:val="00CE2F02"/>
    <w:rsid w:val="00CE30B1"/>
    <w:rsid w:val="00CE3649"/>
    <w:rsid w:val="00CE49A8"/>
    <w:rsid w:val="00CE4F73"/>
    <w:rsid w:val="00CE5A5A"/>
    <w:rsid w:val="00CE5BDF"/>
    <w:rsid w:val="00CE5D9E"/>
    <w:rsid w:val="00CE7ECA"/>
    <w:rsid w:val="00CF06D9"/>
    <w:rsid w:val="00CF1155"/>
    <w:rsid w:val="00CF12A6"/>
    <w:rsid w:val="00CF197F"/>
    <w:rsid w:val="00CF1EB2"/>
    <w:rsid w:val="00CF3BDE"/>
    <w:rsid w:val="00CF4158"/>
    <w:rsid w:val="00CF512A"/>
    <w:rsid w:val="00CF5DB9"/>
    <w:rsid w:val="00CF6CA9"/>
    <w:rsid w:val="00CF7C56"/>
    <w:rsid w:val="00D00149"/>
    <w:rsid w:val="00D00B06"/>
    <w:rsid w:val="00D00DE5"/>
    <w:rsid w:val="00D0175D"/>
    <w:rsid w:val="00D02330"/>
    <w:rsid w:val="00D032D8"/>
    <w:rsid w:val="00D03BE6"/>
    <w:rsid w:val="00D03C48"/>
    <w:rsid w:val="00D049F1"/>
    <w:rsid w:val="00D04E41"/>
    <w:rsid w:val="00D0512E"/>
    <w:rsid w:val="00D06398"/>
    <w:rsid w:val="00D1000B"/>
    <w:rsid w:val="00D12378"/>
    <w:rsid w:val="00D13DCE"/>
    <w:rsid w:val="00D14CCB"/>
    <w:rsid w:val="00D15510"/>
    <w:rsid w:val="00D16345"/>
    <w:rsid w:val="00D16E3D"/>
    <w:rsid w:val="00D176A2"/>
    <w:rsid w:val="00D20075"/>
    <w:rsid w:val="00D20879"/>
    <w:rsid w:val="00D23AFB"/>
    <w:rsid w:val="00D24C05"/>
    <w:rsid w:val="00D25DE3"/>
    <w:rsid w:val="00D261F1"/>
    <w:rsid w:val="00D315C0"/>
    <w:rsid w:val="00D31AD4"/>
    <w:rsid w:val="00D34B6A"/>
    <w:rsid w:val="00D34C37"/>
    <w:rsid w:val="00D34E39"/>
    <w:rsid w:val="00D3534C"/>
    <w:rsid w:val="00D354F4"/>
    <w:rsid w:val="00D3552A"/>
    <w:rsid w:val="00D4002E"/>
    <w:rsid w:val="00D40CEC"/>
    <w:rsid w:val="00D41738"/>
    <w:rsid w:val="00D433B3"/>
    <w:rsid w:val="00D443CC"/>
    <w:rsid w:val="00D46341"/>
    <w:rsid w:val="00D46894"/>
    <w:rsid w:val="00D507F4"/>
    <w:rsid w:val="00D50B55"/>
    <w:rsid w:val="00D52BE8"/>
    <w:rsid w:val="00D52FA4"/>
    <w:rsid w:val="00D53351"/>
    <w:rsid w:val="00D55C10"/>
    <w:rsid w:val="00D579A2"/>
    <w:rsid w:val="00D600B3"/>
    <w:rsid w:val="00D615D6"/>
    <w:rsid w:val="00D623ED"/>
    <w:rsid w:val="00D645C0"/>
    <w:rsid w:val="00D64B41"/>
    <w:rsid w:val="00D65C8F"/>
    <w:rsid w:val="00D70F31"/>
    <w:rsid w:val="00D71D7F"/>
    <w:rsid w:val="00D73B09"/>
    <w:rsid w:val="00D75C7C"/>
    <w:rsid w:val="00D761F0"/>
    <w:rsid w:val="00D76A57"/>
    <w:rsid w:val="00D772DE"/>
    <w:rsid w:val="00D77AEE"/>
    <w:rsid w:val="00D80672"/>
    <w:rsid w:val="00D8098F"/>
    <w:rsid w:val="00D83805"/>
    <w:rsid w:val="00D84C97"/>
    <w:rsid w:val="00D90496"/>
    <w:rsid w:val="00D914A6"/>
    <w:rsid w:val="00D92C31"/>
    <w:rsid w:val="00D92FC9"/>
    <w:rsid w:val="00D9330F"/>
    <w:rsid w:val="00D944E2"/>
    <w:rsid w:val="00D950F2"/>
    <w:rsid w:val="00D95B7C"/>
    <w:rsid w:val="00D96EFA"/>
    <w:rsid w:val="00D97DF7"/>
    <w:rsid w:val="00DA03D7"/>
    <w:rsid w:val="00DA0BB4"/>
    <w:rsid w:val="00DA1351"/>
    <w:rsid w:val="00DA1387"/>
    <w:rsid w:val="00DA198B"/>
    <w:rsid w:val="00DA1AF4"/>
    <w:rsid w:val="00DA1BB3"/>
    <w:rsid w:val="00DA2C18"/>
    <w:rsid w:val="00DA2D5C"/>
    <w:rsid w:val="00DA4E23"/>
    <w:rsid w:val="00DA63B8"/>
    <w:rsid w:val="00DA6860"/>
    <w:rsid w:val="00DA775A"/>
    <w:rsid w:val="00DA7E7E"/>
    <w:rsid w:val="00DB0858"/>
    <w:rsid w:val="00DB14BB"/>
    <w:rsid w:val="00DB14D1"/>
    <w:rsid w:val="00DB26F2"/>
    <w:rsid w:val="00DB5C83"/>
    <w:rsid w:val="00DB5F70"/>
    <w:rsid w:val="00DB60F3"/>
    <w:rsid w:val="00DB7E76"/>
    <w:rsid w:val="00DC0D46"/>
    <w:rsid w:val="00DC1ACB"/>
    <w:rsid w:val="00DC2175"/>
    <w:rsid w:val="00DC2510"/>
    <w:rsid w:val="00DC32C4"/>
    <w:rsid w:val="00DC3911"/>
    <w:rsid w:val="00DC39C3"/>
    <w:rsid w:val="00DC4F5D"/>
    <w:rsid w:val="00DC59C1"/>
    <w:rsid w:val="00DC6B8A"/>
    <w:rsid w:val="00DC775F"/>
    <w:rsid w:val="00DC7921"/>
    <w:rsid w:val="00DD103B"/>
    <w:rsid w:val="00DD32AF"/>
    <w:rsid w:val="00DD4F69"/>
    <w:rsid w:val="00DD5E9A"/>
    <w:rsid w:val="00DD6EE9"/>
    <w:rsid w:val="00DE2872"/>
    <w:rsid w:val="00DE49FC"/>
    <w:rsid w:val="00DE5DD6"/>
    <w:rsid w:val="00DE68AD"/>
    <w:rsid w:val="00DE7564"/>
    <w:rsid w:val="00DF15FA"/>
    <w:rsid w:val="00DF16AB"/>
    <w:rsid w:val="00DF19D5"/>
    <w:rsid w:val="00DF1A72"/>
    <w:rsid w:val="00DF2F5C"/>
    <w:rsid w:val="00DF3530"/>
    <w:rsid w:val="00DF558F"/>
    <w:rsid w:val="00DF55B1"/>
    <w:rsid w:val="00DF6D2A"/>
    <w:rsid w:val="00DF7B8A"/>
    <w:rsid w:val="00E0238B"/>
    <w:rsid w:val="00E034C8"/>
    <w:rsid w:val="00E04301"/>
    <w:rsid w:val="00E05D1C"/>
    <w:rsid w:val="00E06D2A"/>
    <w:rsid w:val="00E06DE8"/>
    <w:rsid w:val="00E075C9"/>
    <w:rsid w:val="00E100E3"/>
    <w:rsid w:val="00E10A80"/>
    <w:rsid w:val="00E1169E"/>
    <w:rsid w:val="00E119A2"/>
    <w:rsid w:val="00E12DE5"/>
    <w:rsid w:val="00E13BC7"/>
    <w:rsid w:val="00E1438C"/>
    <w:rsid w:val="00E16FDA"/>
    <w:rsid w:val="00E20573"/>
    <w:rsid w:val="00E20A47"/>
    <w:rsid w:val="00E22667"/>
    <w:rsid w:val="00E2309E"/>
    <w:rsid w:val="00E23B0B"/>
    <w:rsid w:val="00E23C4C"/>
    <w:rsid w:val="00E3316F"/>
    <w:rsid w:val="00E35197"/>
    <w:rsid w:val="00E35399"/>
    <w:rsid w:val="00E3629C"/>
    <w:rsid w:val="00E37429"/>
    <w:rsid w:val="00E37CB1"/>
    <w:rsid w:val="00E37EBB"/>
    <w:rsid w:val="00E41A39"/>
    <w:rsid w:val="00E439DF"/>
    <w:rsid w:val="00E44356"/>
    <w:rsid w:val="00E44DE9"/>
    <w:rsid w:val="00E45F44"/>
    <w:rsid w:val="00E464F5"/>
    <w:rsid w:val="00E51231"/>
    <w:rsid w:val="00E512B9"/>
    <w:rsid w:val="00E51F59"/>
    <w:rsid w:val="00E52E54"/>
    <w:rsid w:val="00E57433"/>
    <w:rsid w:val="00E60692"/>
    <w:rsid w:val="00E61BB3"/>
    <w:rsid w:val="00E639CA"/>
    <w:rsid w:val="00E63B7F"/>
    <w:rsid w:val="00E651B5"/>
    <w:rsid w:val="00E6546D"/>
    <w:rsid w:val="00E66CEB"/>
    <w:rsid w:val="00E679C5"/>
    <w:rsid w:val="00E67C7F"/>
    <w:rsid w:val="00E706BC"/>
    <w:rsid w:val="00E7154B"/>
    <w:rsid w:val="00E7336B"/>
    <w:rsid w:val="00E73BA7"/>
    <w:rsid w:val="00E751DA"/>
    <w:rsid w:val="00E80FB5"/>
    <w:rsid w:val="00E81167"/>
    <w:rsid w:val="00E829A1"/>
    <w:rsid w:val="00E839B5"/>
    <w:rsid w:val="00E85D20"/>
    <w:rsid w:val="00E86942"/>
    <w:rsid w:val="00E90521"/>
    <w:rsid w:val="00E9096A"/>
    <w:rsid w:val="00E92BD2"/>
    <w:rsid w:val="00E93428"/>
    <w:rsid w:val="00E93C5B"/>
    <w:rsid w:val="00E94D01"/>
    <w:rsid w:val="00E955BC"/>
    <w:rsid w:val="00EA02BE"/>
    <w:rsid w:val="00EA1AA6"/>
    <w:rsid w:val="00EA42EC"/>
    <w:rsid w:val="00EA5646"/>
    <w:rsid w:val="00EA5D5C"/>
    <w:rsid w:val="00EA7A93"/>
    <w:rsid w:val="00EB1F10"/>
    <w:rsid w:val="00EB2242"/>
    <w:rsid w:val="00EB2A50"/>
    <w:rsid w:val="00EB37C3"/>
    <w:rsid w:val="00EB3F04"/>
    <w:rsid w:val="00EB7515"/>
    <w:rsid w:val="00EC0740"/>
    <w:rsid w:val="00EC2738"/>
    <w:rsid w:val="00EC3092"/>
    <w:rsid w:val="00EC45E5"/>
    <w:rsid w:val="00EC4C1B"/>
    <w:rsid w:val="00EC4EE9"/>
    <w:rsid w:val="00EC5321"/>
    <w:rsid w:val="00EC5715"/>
    <w:rsid w:val="00EC6583"/>
    <w:rsid w:val="00EC6657"/>
    <w:rsid w:val="00EC6897"/>
    <w:rsid w:val="00EC6B9A"/>
    <w:rsid w:val="00ED1C74"/>
    <w:rsid w:val="00ED4FF9"/>
    <w:rsid w:val="00ED514D"/>
    <w:rsid w:val="00ED6154"/>
    <w:rsid w:val="00ED7CAE"/>
    <w:rsid w:val="00EE04E8"/>
    <w:rsid w:val="00EE0DCE"/>
    <w:rsid w:val="00EE0FCE"/>
    <w:rsid w:val="00EE1FEC"/>
    <w:rsid w:val="00EE286D"/>
    <w:rsid w:val="00EE35C1"/>
    <w:rsid w:val="00EE3A55"/>
    <w:rsid w:val="00EE3C85"/>
    <w:rsid w:val="00EE5A55"/>
    <w:rsid w:val="00EE6477"/>
    <w:rsid w:val="00EE6555"/>
    <w:rsid w:val="00EF0449"/>
    <w:rsid w:val="00EF0E54"/>
    <w:rsid w:val="00EF2D7C"/>
    <w:rsid w:val="00EF3D53"/>
    <w:rsid w:val="00EF5EB2"/>
    <w:rsid w:val="00EF623F"/>
    <w:rsid w:val="00F0018D"/>
    <w:rsid w:val="00F02945"/>
    <w:rsid w:val="00F02CC2"/>
    <w:rsid w:val="00F02F82"/>
    <w:rsid w:val="00F02FB9"/>
    <w:rsid w:val="00F0463B"/>
    <w:rsid w:val="00F04785"/>
    <w:rsid w:val="00F04914"/>
    <w:rsid w:val="00F05490"/>
    <w:rsid w:val="00F054A4"/>
    <w:rsid w:val="00F058AC"/>
    <w:rsid w:val="00F06CBB"/>
    <w:rsid w:val="00F06E4E"/>
    <w:rsid w:val="00F11D60"/>
    <w:rsid w:val="00F13877"/>
    <w:rsid w:val="00F1651B"/>
    <w:rsid w:val="00F16792"/>
    <w:rsid w:val="00F1740C"/>
    <w:rsid w:val="00F17583"/>
    <w:rsid w:val="00F203DC"/>
    <w:rsid w:val="00F2284D"/>
    <w:rsid w:val="00F22F32"/>
    <w:rsid w:val="00F23292"/>
    <w:rsid w:val="00F2373C"/>
    <w:rsid w:val="00F2523B"/>
    <w:rsid w:val="00F27D2C"/>
    <w:rsid w:val="00F27F07"/>
    <w:rsid w:val="00F30AAA"/>
    <w:rsid w:val="00F32BC2"/>
    <w:rsid w:val="00F33E38"/>
    <w:rsid w:val="00F3645E"/>
    <w:rsid w:val="00F36FB3"/>
    <w:rsid w:val="00F37420"/>
    <w:rsid w:val="00F4020C"/>
    <w:rsid w:val="00F41AC2"/>
    <w:rsid w:val="00F43605"/>
    <w:rsid w:val="00F4597E"/>
    <w:rsid w:val="00F45C6C"/>
    <w:rsid w:val="00F473C7"/>
    <w:rsid w:val="00F50090"/>
    <w:rsid w:val="00F50765"/>
    <w:rsid w:val="00F5113B"/>
    <w:rsid w:val="00F52E1F"/>
    <w:rsid w:val="00F52EA0"/>
    <w:rsid w:val="00F53299"/>
    <w:rsid w:val="00F550E7"/>
    <w:rsid w:val="00F56A40"/>
    <w:rsid w:val="00F56C1B"/>
    <w:rsid w:val="00F600EB"/>
    <w:rsid w:val="00F603C2"/>
    <w:rsid w:val="00F60D53"/>
    <w:rsid w:val="00F616A4"/>
    <w:rsid w:val="00F6186B"/>
    <w:rsid w:val="00F6275D"/>
    <w:rsid w:val="00F64279"/>
    <w:rsid w:val="00F65597"/>
    <w:rsid w:val="00F66111"/>
    <w:rsid w:val="00F66117"/>
    <w:rsid w:val="00F67F6B"/>
    <w:rsid w:val="00F7348C"/>
    <w:rsid w:val="00F74418"/>
    <w:rsid w:val="00F75963"/>
    <w:rsid w:val="00F76EC6"/>
    <w:rsid w:val="00F77676"/>
    <w:rsid w:val="00F800DC"/>
    <w:rsid w:val="00F804F1"/>
    <w:rsid w:val="00F824D0"/>
    <w:rsid w:val="00F82BBF"/>
    <w:rsid w:val="00F82CA5"/>
    <w:rsid w:val="00F832CC"/>
    <w:rsid w:val="00F835EF"/>
    <w:rsid w:val="00F8599C"/>
    <w:rsid w:val="00F8691B"/>
    <w:rsid w:val="00F86D98"/>
    <w:rsid w:val="00F872BE"/>
    <w:rsid w:val="00F875FB"/>
    <w:rsid w:val="00F90798"/>
    <w:rsid w:val="00F92930"/>
    <w:rsid w:val="00F929E7"/>
    <w:rsid w:val="00F94FA1"/>
    <w:rsid w:val="00F95259"/>
    <w:rsid w:val="00F96EDF"/>
    <w:rsid w:val="00FA1172"/>
    <w:rsid w:val="00FA2117"/>
    <w:rsid w:val="00FA3994"/>
    <w:rsid w:val="00FA3F96"/>
    <w:rsid w:val="00FA4641"/>
    <w:rsid w:val="00FA66EA"/>
    <w:rsid w:val="00FA6745"/>
    <w:rsid w:val="00FA6DD7"/>
    <w:rsid w:val="00FA749C"/>
    <w:rsid w:val="00FA7F63"/>
    <w:rsid w:val="00FB3CCE"/>
    <w:rsid w:val="00FB47BD"/>
    <w:rsid w:val="00FB6FF4"/>
    <w:rsid w:val="00FC109B"/>
    <w:rsid w:val="00FC26F6"/>
    <w:rsid w:val="00FC46E6"/>
    <w:rsid w:val="00FC4DA0"/>
    <w:rsid w:val="00FC5C7D"/>
    <w:rsid w:val="00FC682F"/>
    <w:rsid w:val="00FD0834"/>
    <w:rsid w:val="00FD0B55"/>
    <w:rsid w:val="00FD0ECB"/>
    <w:rsid w:val="00FD109B"/>
    <w:rsid w:val="00FD1BF5"/>
    <w:rsid w:val="00FD22A0"/>
    <w:rsid w:val="00FD30AF"/>
    <w:rsid w:val="00FD3E98"/>
    <w:rsid w:val="00FD4DB7"/>
    <w:rsid w:val="00FD4FBC"/>
    <w:rsid w:val="00FD76EE"/>
    <w:rsid w:val="00FE0059"/>
    <w:rsid w:val="00FE095E"/>
    <w:rsid w:val="00FE2806"/>
    <w:rsid w:val="00FE3019"/>
    <w:rsid w:val="00FE30B7"/>
    <w:rsid w:val="00FE337F"/>
    <w:rsid w:val="00FE4DB8"/>
    <w:rsid w:val="00FE5ADA"/>
    <w:rsid w:val="00FE5D04"/>
    <w:rsid w:val="00FE76A7"/>
    <w:rsid w:val="00FE7B5C"/>
    <w:rsid w:val="00FF00A5"/>
    <w:rsid w:val="00FF00D3"/>
    <w:rsid w:val="00FF1968"/>
    <w:rsid w:val="00FF29F5"/>
    <w:rsid w:val="00FF3525"/>
    <w:rsid w:val="00FF36AD"/>
    <w:rsid w:val="00FF47B4"/>
    <w:rsid w:val="00FF6CA3"/>
    <w:rsid w:val="00FF73BF"/>
    <w:rsid w:val="00FF7E0A"/>
    <w:rsid w:val="01281A93"/>
    <w:rsid w:val="020B46BF"/>
    <w:rsid w:val="0222795D"/>
    <w:rsid w:val="0273086B"/>
    <w:rsid w:val="028E0AA1"/>
    <w:rsid w:val="029141C2"/>
    <w:rsid w:val="02B33080"/>
    <w:rsid w:val="032163EA"/>
    <w:rsid w:val="03516C2A"/>
    <w:rsid w:val="03985C7D"/>
    <w:rsid w:val="039A405D"/>
    <w:rsid w:val="03D72DE7"/>
    <w:rsid w:val="040454EB"/>
    <w:rsid w:val="04A67754"/>
    <w:rsid w:val="04AC677B"/>
    <w:rsid w:val="05117D9A"/>
    <w:rsid w:val="05BC5024"/>
    <w:rsid w:val="06511F26"/>
    <w:rsid w:val="0659602B"/>
    <w:rsid w:val="065E40FE"/>
    <w:rsid w:val="068124F2"/>
    <w:rsid w:val="06C84886"/>
    <w:rsid w:val="071120FE"/>
    <w:rsid w:val="071976CC"/>
    <w:rsid w:val="072320E9"/>
    <w:rsid w:val="073D5F2E"/>
    <w:rsid w:val="074E0EA7"/>
    <w:rsid w:val="075B296C"/>
    <w:rsid w:val="07E256A3"/>
    <w:rsid w:val="080028EE"/>
    <w:rsid w:val="08F12CDA"/>
    <w:rsid w:val="08FA6E76"/>
    <w:rsid w:val="08FD0388"/>
    <w:rsid w:val="090A7568"/>
    <w:rsid w:val="09630D8D"/>
    <w:rsid w:val="099E25E0"/>
    <w:rsid w:val="09C71513"/>
    <w:rsid w:val="09D300D1"/>
    <w:rsid w:val="09F64ACD"/>
    <w:rsid w:val="0A0E6A17"/>
    <w:rsid w:val="0AD53A33"/>
    <w:rsid w:val="0B1F0AE3"/>
    <w:rsid w:val="0B6005C7"/>
    <w:rsid w:val="0D340637"/>
    <w:rsid w:val="0D6C7761"/>
    <w:rsid w:val="0D7B6C02"/>
    <w:rsid w:val="0D913AE5"/>
    <w:rsid w:val="0D9319BD"/>
    <w:rsid w:val="0D977DE2"/>
    <w:rsid w:val="0DA3144D"/>
    <w:rsid w:val="0DD939F3"/>
    <w:rsid w:val="0F166866"/>
    <w:rsid w:val="0F3C2A72"/>
    <w:rsid w:val="0FB466B0"/>
    <w:rsid w:val="106C5ADB"/>
    <w:rsid w:val="10E70A20"/>
    <w:rsid w:val="11001623"/>
    <w:rsid w:val="115A4163"/>
    <w:rsid w:val="11703FEC"/>
    <w:rsid w:val="11B06CBB"/>
    <w:rsid w:val="11BE6006"/>
    <w:rsid w:val="11C055F3"/>
    <w:rsid w:val="11E015B7"/>
    <w:rsid w:val="124817A9"/>
    <w:rsid w:val="1250401C"/>
    <w:rsid w:val="12774837"/>
    <w:rsid w:val="132027DA"/>
    <w:rsid w:val="132035A6"/>
    <w:rsid w:val="139C688E"/>
    <w:rsid w:val="14093979"/>
    <w:rsid w:val="14B552DF"/>
    <w:rsid w:val="14DA3DA4"/>
    <w:rsid w:val="15023D8B"/>
    <w:rsid w:val="152F2F86"/>
    <w:rsid w:val="159E1E08"/>
    <w:rsid w:val="15EC01E2"/>
    <w:rsid w:val="15FC56FF"/>
    <w:rsid w:val="163160C9"/>
    <w:rsid w:val="1665193B"/>
    <w:rsid w:val="16AB35C7"/>
    <w:rsid w:val="16E24139"/>
    <w:rsid w:val="16EF4A09"/>
    <w:rsid w:val="170F0C33"/>
    <w:rsid w:val="17D63196"/>
    <w:rsid w:val="181A435F"/>
    <w:rsid w:val="18772CE1"/>
    <w:rsid w:val="18F14A93"/>
    <w:rsid w:val="19537910"/>
    <w:rsid w:val="195D0011"/>
    <w:rsid w:val="1978518A"/>
    <w:rsid w:val="19D03979"/>
    <w:rsid w:val="19E8702F"/>
    <w:rsid w:val="1A6E1B33"/>
    <w:rsid w:val="1A7729AC"/>
    <w:rsid w:val="1B0670DB"/>
    <w:rsid w:val="1B44566F"/>
    <w:rsid w:val="1B5B21F6"/>
    <w:rsid w:val="1C3B44E8"/>
    <w:rsid w:val="1C636264"/>
    <w:rsid w:val="1CE148AE"/>
    <w:rsid w:val="1D0F329E"/>
    <w:rsid w:val="1D157D7A"/>
    <w:rsid w:val="1D753660"/>
    <w:rsid w:val="1D78034B"/>
    <w:rsid w:val="1E176CBC"/>
    <w:rsid w:val="1E304335"/>
    <w:rsid w:val="1EF37353"/>
    <w:rsid w:val="1EF45E44"/>
    <w:rsid w:val="1F003346"/>
    <w:rsid w:val="1F2C732E"/>
    <w:rsid w:val="1F755F1E"/>
    <w:rsid w:val="1F991688"/>
    <w:rsid w:val="1FAA075C"/>
    <w:rsid w:val="1FE87E2B"/>
    <w:rsid w:val="1FEB2506"/>
    <w:rsid w:val="212B3D6F"/>
    <w:rsid w:val="21964DFD"/>
    <w:rsid w:val="21CC24BA"/>
    <w:rsid w:val="223A14EF"/>
    <w:rsid w:val="223D4F54"/>
    <w:rsid w:val="229B446B"/>
    <w:rsid w:val="22F81661"/>
    <w:rsid w:val="231D36AD"/>
    <w:rsid w:val="23C66316"/>
    <w:rsid w:val="23D10A39"/>
    <w:rsid w:val="23F7482D"/>
    <w:rsid w:val="247513A1"/>
    <w:rsid w:val="24FC7F7D"/>
    <w:rsid w:val="25344C05"/>
    <w:rsid w:val="26127BBD"/>
    <w:rsid w:val="264C5613"/>
    <w:rsid w:val="26CB4532"/>
    <w:rsid w:val="270E6E13"/>
    <w:rsid w:val="271238F2"/>
    <w:rsid w:val="27394EB2"/>
    <w:rsid w:val="276337E6"/>
    <w:rsid w:val="2786289E"/>
    <w:rsid w:val="27A326C3"/>
    <w:rsid w:val="27B02A42"/>
    <w:rsid w:val="27F72649"/>
    <w:rsid w:val="27FC383E"/>
    <w:rsid w:val="281E70EA"/>
    <w:rsid w:val="283E00B2"/>
    <w:rsid w:val="28711AB3"/>
    <w:rsid w:val="288C5F0F"/>
    <w:rsid w:val="290F13E3"/>
    <w:rsid w:val="29732D2A"/>
    <w:rsid w:val="29EE0CC6"/>
    <w:rsid w:val="2A8F5E14"/>
    <w:rsid w:val="2A95037E"/>
    <w:rsid w:val="2BDC13E8"/>
    <w:rsid w:val="2BE85F84"/>
    <w:rsid w:val="2C26467B"/>
    <w:rsid w:val="2C2D58F3"/>
    <w:rsid w:val="2CFE4A5A"/>
    <w:rsid w:val="2D022222"/>
    <w:rsid w:val="2D1B3A39"/>
    <w:rsid w:val="2DF02662"/>
    <w:rsid w:val="2DF44523"/>
    <w:rsid w:val="2E6528ED"/>
    <w:rsid w:val="2E9928E0"/>
    <w:rsid w:val="2EBE6008"/>
    <w:rsid w:val="2F9E1B21"/>
    <w:rsid w:val="2FC9631E"/>
    <w:rsid w:val="2FD7696A"/>
    <w:rsid w:val="30070A6F"/>
    <w:rsid w:val="30221678"/>
    <w:rsid w:val="30FF03BF"/>
    <w:rsid w:val="31235A1F"/>
    <w:rsid w:val="329F77D3"/>
    <w:rsid w:val="32D71C99"/>
    <w:rsid w:val="32FC5E04"/>
    <w:rsid w:val="33972CFB"/>
    <w:rsid w:val="339F21F8"/>
    <w:rsid w:val="33D24927"/>
    <w:rsid w:val="343121E7"/>
    <w:rsid w:val="34820AFC"/>
    <w:rsid w:val="34BF27F4"/>
    <w:rsid w:val="35132752"/>
    <w:rsid w:val="35201AB6"/>
    <w:rsid w:val="35AD5E3E"/>
    <w:rsid w:val="35BE500F"/>
    <w:rsid w:val="363137A3"/>
    <w:rsid w:val="373C7CDF"/>
    <w:rsid w:val="374F43C0"/>
    <w:rsid w:val="37812742"/>
    <w:rsid w:val="37BE7040"/>
    <w:rsid w:val="37DF47F8"/>
    <w:rsid w:val="37E84BA1"/>
    <w:rsid w:val="37EB5206"/>
    <w:rsid w:val="37F9658B"/>
    <w:rsid w:val="381465C5"/>
    <w:rsid w:val="38311750"/>
    <w:rsid w:val="38844D80"/>
    <w:rsid w:val="38C822EE"/>
    <w:rsid w:val="38E9635A"/>
    <w:rsid w:val="39477140"/>
    <w:rsid w:val="395F1CD5"/>
    <w:rsid w:val="396F7BFA"/>
    <w:rsid w:val="39A4566F"/>
    <w:rsid w:val="3A04531E"/>
    <w:rsid w:val="3A1F7582"/>
    <w:rsid w:val="3A4017F0"/>
    <w:rsid w:val="3AAD25C6"/>
    <w:rsid w:val="3B331C7A"/>
    <w:rsid w:val="3BCD4780"/>
    <w:rsid w:val="3C094A13"/>
    <w:rsid w:val="3C3D2D39"/>
    <w:rsid w:val="3C6F7865"/>
    <w:rsid w:val="3C903859"/>
    <w:rsid w:val="3D3B12DA"/>
    <w:rsid w:val="3D593E8C"/>
    <w:rsid w:val="3D9B5A4B"/>
    <w:rsid w:val="3DAF1262"/>
    <w:rsid w:val="3DDB5B51"/>
    <w:rsid w:val="3EA9145A"/>
    <w:rsid w:val="3EAC767E"/>
    <w:rsid w:val="3F461170"/>
    <w:rsid w:val="3F4C4B1C"/>
    <w:rsid w:val="3F650A3B"/>
    <w:rsid w:val="4039719F"/>
    <w:rsid w:val="40BF70B8"/>
    <w:rsid w:val="40FE18D7"/>
    <w:rsid w:val="41A20B0A"/>
    <w:rsid w:val="42045657"/>
    <w:rsid w:val="420D510B"/>
    <w:rsid w:val="42106D87"/>
    <w:rsid w:val="4264089E"/>
    <w:rsid w:val="42834427"/>
    <w:rsid w:val="42843ACD"/>
    <w:rsid w:val="42A61B46"/>
    <w:rsid w:val="42E151EF"/>
    <w:rsid w:val="42EA134D"/>
    <w:rsid w:val="42ED4FE4"/>
    <w:rsid w:val="42F10D9F"/>
    <w:rsid w:val="43286EF3"/>
    <w:rsid w:val="43312BF2"/>
    <w:rsid w:val="43E809AA"/>
    <w:rsid w:val="44272477"/>
    <w:rsid w:val="44517768"/>
    <w:rsid w:val="446532AB"/>
    <w:rsid w:val="446E5745"/>
    <w:rsid w:val="44843505"/>
    <w:rsid w:val="44A3472A"/>
    <w:rsid w:val="44A866F5"/>
    <w:rsid w:val="45582138"/>
    <w:rsid w:val="45762675"/>
    <w:rsid w:val="46011A2D"/>
    <w:rsid w:val="47FF0228"/>
    <w:rsid w:val="480E2214"/>
    <w:rsid w:val="486F7755"/>
    <w:rsid w:val="48B81E35"/>
    <w:rsid w:val="4936101B"/>
    <w:rsid w:val="49616768"/>
    <w:rsid w:val="4988591D"/>
    <w:rsid w:val="49963557"/>
    <w:rsid w:val="49D46F8E"/>
    <w:rsid w:val="4A20189A"/>
    <w:rsid w:val="4A444F0A"/>
    <w:rsid w:val="4A62547D"/>
    <w:rsid w:val="4A7502B5"/>
    <w:rsid w:val="4AAC4E1B"/>
    <w:rsid w:val="4BFD4F0A"/>
    <w:rsid w:val="4C151BBB"/>
    <w:rsid w:val="4C5D5041"/>
    <w:rsid w:val="4CDB6D47"/>
    <w:rsid w:val="4DC2042B"/>
    <w:rsid w:val="4DC35B9D"/>
    <w:rsid w:val="4DE571DC"/>
    <w:rsid w:val="4DE91FFC"/>
    <w:rsid w:val="4E1F599D"/>
    <w:rsid w:val="4E3E2DF6"/>
    <w:rsid w:val="4EA10878"/>
    <w:rsid w:val="4EB926C5"/>
    <w:rsid w:val="4ED01871"/>
    <w:rsid w:val="4F48084F"/>
    <w:rsid w:val="4F755271"/>
    <w:rsid w:val="4FBE7BEA"/>
    <w:rsid w:val="500E646C"/>
    <w:rsid w:val="501B374D"/>
    <w:rsid w:val="50A84646"/>
    <w:rsid w:val="50FD3157"/>
    <w:rsid w:val="51616F46"/>
    <w:rsid w:val="51F742BB"/>
    <w:rsid w:val="521B2A4E"/>
    <w:rsid w:val="52631353"/>
    <w:rsid w:val="53140263"/>
    <w:rsid w:val="5317405E"/>
    <w:rsid w:val="53830D53"/>
    <w:rsid w:val="53E93575"/>
    <w:rsid w:val="546569C2"/>
    <w:rsid w:val="548941A4"/>
    <w:rsid w:val="54A43ADE"/>
    <w:rsid w:val="54FB435F"/>
    <w:rsid w:val="560F5C82"/>
    <w:rsid w:val="575A6E7A"/>
    <w:rsid w:val="57775755"/>
    <w:rsid w:val="57855FC0"/>
    <w:rsid w:val="57E03217"/>
    <w:rsid w:val="58127620"/>
    <w:rsid w:val="58192794"/>
    <w:rsid w:val="58491074"/>
    <w:rsid w:val="585806CB"/>
    <w:rsid w:val="592F1800"/>
    <w:rsid w:val="59395EF6"/>
    <w:rsid w:val="59422892"/>
    <w:rsid w:val="59893102"/>
    <w:rsid w:val="598A1FC2"/>
    <w:rsid w:val="598D27E9"/>
    <w:rsid w:val="59E648CF"/>
    <w:rsid w:val="59F37986"/>
    <w:rsid w:val="5A430686"/>
    <w:rsid w:val="5A5B16F2"/>
    <w:rsid w:val="5AC620C1"/>
    <w:rsid w:val="5AEE6F2B"/>
    <w:rsid w:val="5B4F2CD5"/>
    <w:rsid w:val="5B9864B6"/>
    <w:rsid w:val="5C3857DC"/>
    <w:rsid w:val="5C491C0A"/>
    <w:rsid w:val="5C5C0F22"/>
    <w:rsid w:val="5C603089"/>
    <w:rsid w:val="5C683E65"/>
    <w:rsid w:val="5DA43C51"/>
    <w:rsid w:val="5DBE50FD"/>
    <w:rsid w:val="5DCB066D"/>
    <w:rsid w:val="5E52066F"/>
    <w:rsid w:val="5F766405"/>
    <w:rsid w:val="5F8B10A0"/>
    <w:rsid w:val="5F8F47E3"/>
    <w:rsid w:val="5FC61841"/>
    <w:rsid w:val="5FF71757"/>
    <w:rsid w:val="60130EEF"/>
    <w:rsid w:val="603B56D3"/>
    <w:rsid w:val="60A560C3"/>
    <w:rsid w:val="60AC4696"/>
    <w:rsid w:val="613715C7"/>
    <w:rsid w:val="618229A5"/>
    <w:rsid w:val="618817A0"/>
    <w:rsid w:val="61D07E40"/>
    <w:rsid w:val="61DF1F54"/>
    <w:rsid w:val="626A3A22"/>
    <w:rsid w:val="631034D8"/>
    <w:rsid w:val="636D6E1E"/>
    <w:rsid w:val="63E00724"/>
    <w:rsid w:val="640252AD"/>
    <w:rsid w:val="642F7315"/>
    <w:rsid w:val="6478698A"/>
    <w:rsid w:val="64DE0161"/>
    <w:rsid w:val="65057E26"/>
    <w:rsid w:val="654710AE"/>
    <w:rsid w:val="65B00BC4"/>
    <w:rsid w:val="65FF1857"/>
    <w:rsid w:val="66681F2F"/>
    <w:rsid w:val="66C343CE"/>
    <w:rsid w:val="67440CAB"/>
    <w:rsid w:val="6782702B"/>
    <w:rsid w:val="678A5E57"/>
    <w:rsid w:val="67A86C6A"/>
    <w:rsid w:val="67C06FD2"/>
    <w:rsid w:val="67F95C28"/>
    <w:rsid w:val="67FC0BC9"/>
    <w:rsid w:val="68146827"/>
    <w:rsid w:val="684D44CA"/>
    <w:rsid w:val="687D69EC"/>
    <w:rsid w:val="689245A9"/>
    <w:rsid w:val="68C61866"/>
    <w:rsid w:val="68EC5871"/>
    <w:rsid w:val="690E2712"/>
    <w:rsid w:val="69D321A4"/>
    <w:rsid w:val="6A1058FC"/>
    <w:rsid w:val="6A910D88"/>
    <w:rsid w:val="6AFA6CDD"/>
    <w:rsid w:val="6B0D446E"/>
    <w:rsid w:val="6BE712D3"/>
    <w:rsid w:val="6C15082B"/>
    <w:rsid w:val="6C2616B5"/>
    <w:rsid w:val="6C3854AC"/>
    <w:rsid w:val="6C39130E"/>
    <w:rsid w:val="6C653D2B"/>
    <w:rsid w:val="6CC375DB"/>
    <w:rsid w:val="6CE20216"/>
    <w:rsid w:val="6D066D26"/>
    <w:rsid w:val="6D222936"/>
    <w:rsid w:val="6D5F6874"/>
    <w:rsid w:val="6D631EE4"/>
    <w:rsid w:val="6D9F749B"/>
    <w:rsid w:val="6E7A1830"/>
    <w:rsid w:val="6E804714"/>
    <w:rsid w:val="6EB54C74"/>
    <w:rsid w:val="6ECE3EA8"/>
    <w:rsid w:val="6ED63DDB"/>
    <w:rsid w:val="6EE74646"/>
    <w:rsid w:val="6F0C3B6A"/>
    <w:rsid w:val="6F3E6C48"/>
    <w:rsid w:val="70D76647"/>
    <w:rsid w:val="71820106"/>
    <w:rsid w:val="71906817"/>
    <w:rsid w:val="71BB6CD5"/>
    <w:rsid w:val="71BD2C85"/>
    <w:rsid w:val="71C02CF2"/>
    <w:rsid w:val="71D07C22"/>
    <w:rsid w:val="71F42EDB"/>
    <w:rsid w:val="7257796A"/>
    <w:rsid w:val="72F86392"/>
    <w:rsid w:val="731C547C"/>
    <w:rsid w:val="739C0EFC"/>
    <w:rsid w:val="73B749DE"/>
    <w:rsid w:val="73CE217D"/>
    <w:rsid w:val="73D20CCD"/>
    <w:rsid w:val="74F0420D"/>
    <w:rsid w:val="74F20FD7"/>
    <w:rsid w:val="753B0250"/>
    <w:rsid w:val="755B4D66"/>
    <w:rsid w:val="757565A8"/>
    <w:rsid w:val="768D1FAE"/>
    <w:rsid w:val="76BB05AA"/>
    <w:rsid w:val="76C4112A"/>
    <w:rsid w:val="778F404F"/>
    <w:rsid w:val="77A83373"/>
    <w:rsid w:val="77B16D9B"/>
    <w:rsid w:val="782E29F9"/>
    <w:rsid w:val="78D45EF9"/>
    <w:rsid w:val="79477A05"/>
    <w:rsid w:val="79940683"/>
    <w:rsid w:val="799562D1"/>
    <w:rsid w:val="79BC6558"/>
    <w:rsid w:val="7A2C6801"/>
    <w:rsid w:val="7A2E4B0E"/>
    <w:rsid w:val="7A2F4562"/>
    <w:rsid w:val="7A4E4613"/>
    <w:rsid w:val="7A7F2425"/>
    <w:rsid w:val="7BB02F4F"/>
    <w:rsid w:val="7BD101DF"/>
    <w:rsid w:val="7C0840FA"/>
    <w:rsid w:val="7C0C7D4C"/>
    <w:rsid w:val="7C1829C4"/>
    <w:rsid w:val="7C546F68"/>
    <w:rsid w:val="7CC22809"/>
    <w:rsid w:val="7DAD3B86"/>
    <w:rsid w:val="7DC4425D"/>
    <w:rsid w:val="7E287DF7"/>
    <w:rsid w:val="7EE56CB3"/>
    <w:rsid w:val="7EFF749D"/>
    <w:rsid w:val="7F870AA8"/>
    <w:rsid w:val="7FA56664"/>
    <w:rsid w:val="7FB543BB"/>
    <w:rsid w:val="7FC6567C"/>
    <w:rsid w:val="7FFD1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
    <w:qFormat/>
    <w:uiPriority w:val="0"/>
    <w:pPr>
      <w:keepNext/>
      <w:keepLines/>
      <w:spacing w:before="340" w:after="330" w:line="576" w:lineRule="auto"/>
      <w:jc w:val="center"/>
      <w:outlineLvl w:val="0"/>
    </w:pPr>
    <w:rPr>
      <w:rFonts w:ascii="Times New Roman" w:hAnsi="Times New Roman"/>
      <w:b/>
      <w:kern w:val="44"/>
      <w:sz w:val="28"/>
      <w:szCs w:val="20"/>
    </w:rPr>
  </w:style>
  <w:style w:type="paragraph" w:styleId="2">
    <w:name w:val="heading 2"/>
    <w:basedOn w:val="1"/>
    <w:next w:val="1"/>
    <w:link w:val="40"/>
    <w:qFormat/>
    <w:uiPriority w:val="0"/>
    <w:pPr>
      <w:keepNext/>
      <w:keepLines/>
      <w:spacing w:before="260" w:after="260" w:line="413" w:lineRule="auto"/>
      <w:outlineLvl w:val="1"/>
    </w:pPr>
    <w:rPr>
      <w:rFonts w:ascii="Arial" w:hAnsi="Arial"/>
      <w:kern w:val="0"/>
      <w:sz w:val="28"/>
      <w:szCs w:val="20"/>
    </w:rPr>
  </w:style>
  <w:style w:type="paragraph" w:styleId="5">
    <w:name w:val="heading 3"/>
    <w:basedOn w:val="1"/>
    <w:next w:val="1"/>
    <w:link w:val="37"/>
    <w:qFormat/>
    <w:uiPriority w:val="0"/>
    <w:pPr>
      <w:keepNext/>
      <w:keepLines/>
      <w:spacing w:before="260" w:after="260" w:line="413" w:lineRule="auto"/>
      <w:outlineLvl w:val="2"/>
    </w:pPr>
    <w:rPr>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6">
    <w:name w:val="toc 7"/>
    <w:basedOn w:val="1"/>
    <w:next w:val="1"/>
    <w:qFormat/>
    <w:uiPriority w:val="0"/>
    <w:pPr>
      <w:ind w:left="2520" w:leftChars="1200"/>
    </w:pPr>
  </w:style>
  <w:style w:type="paragraph" w:styleId="7">
    <w:name w:val="Document Map"/>
    <w:basedOn w:val="1"/>
    <w:link w:val="33"/>
    <w:qFormat/>
    <w:uiPriority w:val="0"/>
    <w:rPr>
      <w:rFonts w:ascii="宋体"/>
      <w:sz w:val="18"/>
      <w:szCs w:val="18"/>
    </w:rPr>
  </w:style>
  <w:style w:type="paragraph" w:styleId="8">
    <w:name w:val="annotation text"/>
    <w:basedOn w:val="1"/>
    <w:link w:val="31"/>
    <w:qFormat/>
    <w:uiPriority w:val="0"/>
    <w:pPr>
      <w:jc w:val="left"/>
    </w:pPr>
    <w:rPr>
      <w:rFonts w:ascii="Calibri" w:hAnsi="Calibri"/>
      <w:szCs w:val="22"/>
    </w:rPr>
  </w:style>
  <w:style w:type="paragraph" w:styleId="9">
    <w:name w:val="Body Text"/>
    <w:basedOn w:val="1"/>
    <w:qFormat/>
    <w:uiPriority w:val="0"/>
    <w:pPr>
      <w:spacing w:after="120"/>
    </w:pPr>
  </w:style>
  <w:style w:type="paragraph" w:styleId="10">
    <w:name w:val="Body Text Indent"/>
    <w:basedOn w:val="1"/>
    <w:link w:val="42"/>
    <w:qFormat/>
    <w:uiPriority w:val="0"/>
    <w:pPr>
      <w:spacing w:after="120"/>
      <w:ind w:left="420" w:leftChars="200"/>
    </w:pPr>
  </w:style>
  <w:style w:type="paragraph" w:styleId="11">
    <w:name w:val="List 2"/>
    <w:qFormat/>
    <w:uiPriority w:val="0"/>
    <w:pPr>
      <w:spacing w:line="400" w:lineRule="exact"/>
      <w:jc w:val="center"/>
    </w:pPr>
    <w:rPr>
      <w:rFonts w:ascii="Arial" w:hAnsi="Arial" w:eastAsia="宋体" w:cs="Times New Roman"/>
      <w:sz w:val="24"/>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link w:val="49"/>
    <w:qFormat/>
    <w:uiPriority w:val="0"/>
    <w:pPr>
      <w:adjustRightInd w:val="0"/>
      <w:spacing w:line="312" w:lineRule="atLeast"/>
      <w:textAlignment w:val="baseline"/>
    </w:pPr>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Body Text Indent 3"/>
    <w:basedOn w:val="1"/>
    <w:link w:val="4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oc 9"/>
    <w:basedOn w:val="1"/>
    <w:next w:val="1"/>
    <w:qFormat/>
    <w:uiPriority w:val="0"/>
    <w:pPr>
      <w:ind w:left="3360" w:leftChars="1600"/>
    </w:pPr>
  </w:style>
  <w:style w:type="paragraph" w:styleId="25">
    <w:name w:val="annotation subject"/>
    <w:basedOn w:val="8"/>
    <w:next w:val="8"/>
    <w:link w:val="32"/>
    <w:qFormat/>
    <w:uiPriority w:val="0"/>
    <w:rPr>
      <w:rFonts w:ascii="Times New Roman" w:hAnsi="Times New Roman"/>
      <w:b/>
      <w:bCs/>
      <w:szCs w:val="24"/>
    </w:rPr>
  </w:style>
  <w:style w:type="table" w:styleId="27">
    <w:name w:val="Table Grid"/>
    <w:basedOn w:val="2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character" w:customStyle="1" w:styleId="31">
    <w:name w:val="批注文字 字符"/>
    <w:link w:val="8"/>
    <w:qFormat/>
    <w:uiPriority w:val="0"/>
    <w:rPr>
      <w:rFonts w:ascii="Calibri" w:hAnsi="Calibri"/>
      <w:kern w:val="2"/>
      <w:sz w:val="21"/>
      <w:szCs w:val="22"/>
    </w:rPr>
  </w:style>
  <w:style w:type="character" w:customStyle="1" w:styleId="32">
    <w:name w:val="批注主题 字符"/>
    <w:basedOn w:val="31"/>
    <w:link w:val="25"/>
    <w:qFormat/>
    <w:uiPriority w:val="0"/>
    <w:rPr>
      <w:rFonts w:ascii="Calibri" w:hAnsi="Calibri"/>
      <w:kern w:val="2"/>
      <w:sz w:val="21"/>
      <w:szCs w:val="22"/>
    </w:rPr>
  </w:style>
  <w:style w:type="character" w:customStyle="1" w:styleId="33">
    <w:name w:val="文档结构图 字符"/>
    <w:link w:val="7"/>
    <w:qFormat/>
    <w:uiPriority w:val="0"/>
    <w:rPr>
      <w:rFonts w:ascii="宋体"/>
      <w:kern w:val="2"/>
      <w:sz w:val="18"/>
      <w:szCs w:val="18"/>
    </w:rPr>
  </w:style>
  <w:style w:type="character" w:customStyle="1" w:styleId="34">
    <w:name w:val="批注框文本 字符"/>
    <w:link w:val="16"/>
    <w:qFormat/>
    <w:uiPriority w:val="0"/>
    <w:rPr>
      <w:kern w:val="2"/>
      <w:sz w:val="18"/>
      <w:szCs w:val="18"/>
    </w:rPr>
  </w:style>
  <w:style w:type="character" w:customStyle="1" w:styleId="35">
    <w:name w:val="1101 Char"/>
    <w:link w:val="36"/>
    <w:qFormat/>
    <w:uiPriority w:val="0"/>
    <w:rPr>
      <w:rFonts w:ascii="宋体" w:hAnsi="宋体" w:cs="宋体"/>
      <w:kern w:val="2"/>
      <w:sz w:val="28"/>
      <w:szCs w:val="28"/>
    </w:rPr>
  </w:style>
  <w:style w:type="paragraph" w:customStyle="1" w:styleId="36">
    <w:name w:val="1101"/>
    <w:basedOn w:val="1"/>
    <w:link w:val="35"/>
    <w:qFormat/>
    <w:uiPriority w:val="0"/>
    <w:pPr>
      <w:ind w:firstLine="560" w:firstLineChars="200"/>
      <w:jc w:val="left"/>
    </w:pPr>
    <w:rPr>
      <w:rFonts w:ascii="宋体" w:hAnsi="宋体"/>
      <w:sz w:val="28"/>
      <w:szCs w:val="28"/>
    </w:rPr>
  </w:style>
  <w:style w:type="character" w:customStyle="1" w:styleId="37">
    <w:name w:val="标题 3 字符"/>
    <w:link w:val="5"/>
    <w:qFormat/>
    <w:uiPriority w:val="0"/>
    <w:rPr>
      <w:rFonts w:eastAsia="宋体"/>
      <w:sz w:val="28"/>
    </w:rPr>
  </w:style>
  <w:style w:type="character" w:customStyle="1" w:styleId="38">
    <w:name w:val="标题 1 字符"/>
    <w:link w:val="3"/>
    <w:qFormat/>
    <w:uiPriority w:val="0"/>
    <w:rPr>
      <w:rFonts w:ascii="Times New Roman" w:hAnsi="Times New Roman" w:eastAsia="宋体"/>
      <w:b/>
      <w:kern w:val="44"/>
      <w:sz w:val="28"/>
      <w:szCs w:val="20"/>
    </w:rPr>
  </w:style>
  <w:style w:type="character" w:customStyle="1" w:styleId="39">
    <w:name w:val="正文文本缩进 Char"/>
    <w:basedOn w:val="28"/>
    <w:qFormat/>
    <w:uiPriority w:val="0"/>
    <w:rPr>
      <w:kern w:val="2"/>
      <w:sz w:val="21"/>
      <w:szCs w:val="24"/>
    </w:rPr>
  </w:style>
  <w:style w:type="character" w:customStyle="1" w:styleId="40">
    <w:name w:val="标题 2 字符"/>
    <w:link w:val="2"/>
    <w:qFormat/>
    <w:uiPriority w:val="0"/>
    <w:rPr>
      <w:rFonts w:ascii="Arial" w:hAnsi="Arial" w:eastAsia="宋体"/>
      <w:sz w:val="28"/>
      <w:szCs w:val="20"/>
    </w:rPr>
  </w:style>
  <w:style w:type="character" w:customStyle="1" w:styleId="41">
    <w:name w:val="正文文本缩进 3 字符"/>
    <w:link w:val="22"/>
    <w:qFormat/>
    <w:uiPriority w:val="0"/>
    <w:rPr>
      <w:kern w:val="2"/>
      <w:sz w:val="16"/>
      <w:szCs w:val="16"/>
    </w:rPr>
  </w:style>
  <w:style w:type="character" w:customStyle="1" w:styleId="42">
    <w:name w:val="正文文本缩进 字符"/>
    <w:basedOn w:val="28"/>
    <w:link w:val="10"/>
    <w:qFormat/>
    <w:uiPriority w:val="0"/>
    <w:rPr>
      <w:kern w:val="2"/>
      <w:sz w:val="21"/>
      <w:szCs w:val="24"/>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纯文本1"/>
    <w:basedOn w:val="1"/>
    <w:qFormat/>
    <w:uiPriority w:val="0"/>
    <w:rPr>
      <w:rFonts w:ascii="宋体" w:hAnsi="Courier New" w:cs="黑体"/>
      <w:szCs w:val="21"/>
    </w:rPr>
  </w:style>
  <w:style w:type="paragraph" w:customStyle="1" w:styleId="45">
    <w:name w:val="ST20_2"/>
    <w:basedOn w:val="1"/>
    <w:qFormat/>
    <w:uiPriority w:val="0"/>
    <w:pPr>
      <w:autoSpaceDE w:val="0"/>
      <w:autoSpaceDN w:val="0"/>
      <w:adjustRightInd w:val="0"/>
      <w:spacing w:line="312" w:lineRule="atLeast"/>
      <w:ind w:firstLine="482"/>
      <w:textAlignment w:val="baseline"/>
    </w:pPr>
    <w:rPr>
      <w:rFonts w:ascii="宋体" w:hAnsi="Tms Rmn"/>
      <w:kern w:val="0"/>
      <w:sz w:val="24"/>
      <w:szCs w:val="20"/>
    </w:rPr>
  </w:style>
  <w:style w:type="paragraph" w:customStyle="1" w:styleId="46">
    <w:name w:val="款下正文"/>
    <w:basedOn w:val="1"/>
    <w:qFormat/>
    <w:uiPriority w:val="0"/>
    <w:pPr>
      <w:spacing w:beforeLines="50" w:afterLines="50" w:line="480" w:lineRule="exact"/>
      <w:ind w:firstLine="480" w:firstLineChars="200"/>
    </w:pPr>
    <w:rPr>
      <w:sz w:val="24"/>
      <w:szCs w:val="28"/>
    </w:r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bCs/>
      <w:color w:val="365F91"/>
      <w:kern w:val="0"/>
      <w:szCs w:val="28"/>
    </w:rPr>
  </w:style>
  <w:style w:type="paragraph" w:customStyle="1" w:styleId="48">
    <w:name w:val="样式1"/>
    <w:basedOn w:val="3"/>
    <w:qFormat/>
    <w:uiPriority w:val="0"/>
  </w:style>
  <w:style w:type="character" w:customStyle="1" w:styleId="49">
    <w:name w:val="纯文本 字符"/>
    <w:link w:val="14"/>
    <w:qFormat/>
    <w:uiPriority w:val="0"/>
    <w:rPr>
      <w:rFonts w:ascii="宋体" w:hAnsi="Courier New"/>
      <w:kern w:val="2"/>
      <w:sz w:val="21"/>
      <w:szCs w:val="24"/>
    </w:r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纯文本 Char1"/>
    <w:basedOn w:val="28"/>
    <w:qFormat/>
    <w:uiPriority w:val="0"/>
    <w:rPr>
      <w:rFonts w:ascii="宋体" w:hAnsi="Courier New" w:eastAsia="宋体"/>
    </w:rPr>
  </w:style>
  <w:style w:type="paragraph" w:styleId="52">
    <w:name w:val="List Paragraph"/>
    <w:basedOn w:val="1"/>
    <w:unhideWhenUsed/>
    <w:qFormat/>
    <w:uiPriority w:val="99"/>
    <w:pPr>
      <w:ind w:firstLine="420" w:firstLineChars="200"/>
    </w:pPr>
  </w:style>
  <w:style w:type="paragraph" w:customStyle="1" w:styleId="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表格文字"/>
    <w:qFormat/>
    <w:uiPriority w:val="0"/>
    <w:pPr>
      <w:spacing w:line="288" w:lineRule="auto"/>
      <w:jc w:val="center"/>
    </w:pPr>
    <w:rPr>
      <w:rFonts w:ascii="宋体" w:hAnsi="宋体" w:eastAsia="宋体" w:cs="宋体"/>
      <w:kern w:val="2"/>
      <w:sz w:val="21"/>
      <w:szCs w:val="21"/>
      <w:lang w:val="en-US" w:eastAsia="zh-CN" w:bidi="ar-SA"/>
    </w:rPr>
  </w:style>
  <w:style w:type="character" w:customStyle="1" w:styleId="55">
    <w:name w:val="批注文字 Char"/>
    <w:semiHidden/>
    <w:qFormat/>
    <w:uiPriority w:val="0"/>
    <w:rPr>
      <w:sz w:val="24"/>
    </w:rPr>
  </w:style>
  <w:style w:type="character" w:customStyle="1" w:styleId="56">
    <w:name w:val="批注框文本 Char"/>
    <w:qFormat/>
    <w:uiPriority w:val="0"/>
    <w:rPr>
      <w:kern w:val="2"/>
      <w:sz w:val="18"/>
      <w:szCs w:val="18"/>
    </w:rPr>
  </w:style>
  <w:style w:type="character" w:customStyle="1" w:styleId="57">
    <w:name w:val="font0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E1F82-76BD-4F23-B719-3D00D26267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3095</Words>
  <Characters>17648</Characters>
  <Lines>147</Lines>
  <Paragraphs>41</Paragraphs>
  <TotalTime>0</TotalTime>
  <ScaleCrop>false</ScaleCrop>
  <LinksUpToDate>false</LinksUpToDate>
  <CharactersWithSpaces>20702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2018-10-16T05:44:00Z</dcterms:created>
  <dc:creator>jkghj</dc:creator>
  <cp:lastModifiedBy>venus</cp:lastModifiedBy>
  <cp:lastPrinted>2021-04-09T00:10:00Z</cp:lastPrinted>
  <dcterms:modified xsi:type="dcterms:W3CDTF">2021-09-14T08:46:36Z</dcterms:modified>
  <dc:title>南宁市轨道交通3号线工程可行性研究报告(含选线勘察)编制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8FE5F5EB9A054C8D81B22001FD4FD147</vt:lpwstr>
  </property>
</Properties>
</file>